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0"/>
        <w:jc w:val="center"/>
      </w:pPr>
      <w:r>
        <w:drawing>
          <wp:inline xmlns:a="http://schemas.openxmlformats.org/drawingml/2006/main" xmlns:pic="http://schemas.openxmlformats.org/drawingml/2006/picture">
            <wp:extent cx="4389120" cy="3101852"/>
            <wp:docPr id="1" name="Picture 1"/>
            <wp:cNvGraphicFramePr>
              <a:graphicFrameLocks noChangeAspect="1"/>
            </wp:cNvGraphicFramePr>
            <a:graphic>
              <a:graphicData uri="http://schemas.openxmlformats.org/drawingml/2006/picture">
                <pic:pic>
                  <pic:nvPicPr>
                    <pic:cNvPr id="0" name="2..jpg"/>
                    <pic:cNvPicPr/>
                  </pic:nvPicPr>
                  <pic:blipFill>
                    <a:blip r:embed="rId11"/>
                    <a:stretch>
                      <a:fillRect/>
                    </a:stretch>
                  </pic:blipFill>
                  <pic:spPr>
                    <a:xfrm>
                      <a:off x="0" y="0"/>
                      <a:ext cx="4389120" cy="3101852"/>
                    </a:xfrm>
                    <a:prstGeom prst="rect"/>
                  </pic:spPr>
                </pic:pic>
              </a:graphicData>
            </a:graphic>
          </wp:inline>
        </w:drawing>
      </w:r>
    </w:p>
    <w:p>
      <w:pPr>
        <w:spacing w:before="480"/>
        <w:jc w:val="center"/>
      </w:pPr>
      <w:r>
        <w:rPr>
          <w:rFonts w:ascii="Aptos Display" w:hAnsi="Aptos Display"/>
          <w:b/>
          <w:color w:val="5A1F2A"/>
          <w:sz w:val="62"/>
        </w:rPr>
        <w:t>WORKFORCE</w:t>
        <w:br/>
        <w:t>CAPABILITY PROFILE</w:t>
      </w:r>
    </w:p>
    <w:p>
      <w:pPr>
        <w:jc w:val="center"/>
      </w:pPr>
      <w:r>
        <w:rPr>
          <w:color w:val="2F2F2F"/>
          <w:sz w:val="30"/>
        </w:rPr>
        <w:t>Building safe, skilled and future-ready workforces across Queensland</w:t>
      </w:r>
    </w:p>
    <w:tbl>
      <w:tblPr>
        <w:tblW w:type="auto" w:w="0"/>
        <w:jc w:val="center"/>
        <w:tblLayout w:type="fixed"/>
        <w:tblLook w:firstColumn="1" w:firstRow="1" w:lastColumn="0" w:lastRow="0" w:noHBand="0" w:noVBand="1" w:val="04A0"/>
      </w:tblPr>
      <w:tblGrid>
        <w:gridCol w:w="9504"/>
      </w:tblGrid>
      <w:tr>
        <w:tc>
          <w:tcPr>
            <w:tcW w:type="dxa" w:w="10166"/>
            <w:shd w:fill="EFE7DF"/>
            <w:tcMar>
              <w:top w:w="180" w:type="dxa"/>
              <w:start w:w="220" w:type="dxa"/>
              <w:bottom w:w="180" w:type="dxa"/>
              <w:end w:w="220" w:type="dxa"/>
            </w:tcMar>
          </w:tcPr>
          <w:p>
            <w:r>
              <w:rPr>
                <w:b/>
                <w:color w:val="5A1F2A"/>
                <w:sz w:val="24"/>
              </w:rPr>
              <w:t>Developing Capability. Building Confidence. Strengthening Industry.</w:t>
            </w:r>
          </w:p>
          <w:p>
            <w:pPr>
              <w:pStyle w:val="BodyText"/>
            </w:pPr>
            <w:r>
              <w:t>A Central Queensland family-owned workforce capability partner delivering nationally recognised training, High Risk Work Licence pathways, safety consulting and employer-specific workforce development solutions.</w:t>
            </w:r>
          </w:p>
        </w:tc>
      </w:tr>
    </w:tbl>
    <w:p>
      <w:pPr>
        <w:spacing w:after="0"/>
      </w:pPr>
    </w:p>
    <w:p>
      <w:pPr>
        <w:spacing w:before="520"/>
        <w:jc w:val="center"/>
      </w:pPr>
      <w:r>
        <w:rPr>
          <w:b/>
          <w:color w:val="5A1F2A"/>
          <w:sz w:val="20"/>
        </w:rPr>
        <w:t>RTO 45802  |  ABN 69 641 210 639  |  ACN 641 210 639</w:t>
      </w:r>
    </w:p>
    <w:p>
      <w:pPr>
        <w:jc w:val="center"/>
      </w:pPr>
      <w:r>
        <w:t>110 Alma Street, Rockhampton City QLD 4700</w:t>
        <w:br/>
        <w:t>07 4922 1060  |  ForkyStick@hiltongroup.com.au  |  www.forkystick.com.au</w:t>
      </w:r>
    </w:p>
    <w:p>
      <w:r>
        <w:br w:type="page"/>
      </w:r>
    </w:p>
    <w:p>
      <w:pPr>
        <w:pStyle w:val="Heading1"/>
      </w:pPr>
      <w:r>
        <w:t>A Message from Our CEO</w:t>
      </w:r>
    </w:p>
    <w:p>
      <w:pPr>
        <w:pStyle w:val="BodyText"/>
      </w:pPr>
      <w:r>
        <w:t>Forky Stick Training and Safety Consultants was created from the ground up in Central Queensland with a clear purpose: to provide practical, honest and industry-relevant training that develops real capability—not simply paperwork.</w:t>
      </w:r>
    </w:p>
    <w:p>
      <w:pPr>
        <w:pStyle w:val="BodyText"/>
      </w:pPr>
      <w:r>
        <w:t>We understand that every organisation is different. Its workforce, operating environment, commercial pressures and future direction cannot be reduced to a standard course calendar. Our role is to listen first, understand what the business is trying to achieve and then build a training and capability solution that supports that outcome without compromising safety, quality or regulatory obligations.</w:t>
      </w:r>
    </w:p>
    <w:p>
      <w:pPr>
        <w:pStyle w:val="BodyText"/>
      </w:pPr>
      <w:r>
        <w:t>As a family-owned business, our reputation is personal. We value direct communication, fair dealing, accountability and long-term relationships. We will not represent a service as accredited when it is not, promise outcomes that cannot be supported, or recommend training merely because it is available. We aim to provide advice that is useful, delivery that is dependable and records that accurately reflect what each learner has achieved.</w:t>
      </w:r>
    </w:p>
    <w:p>
      <w:pPr>
        <w:pStyle w:val="BodyText"/>
      </w:pPr>
      <w:r>
        <w:t>Our ambition is to become a trusted workforce capability partner to organisations that value competent people, sustainable growth and continual improvement. Whether the requirement is a single licence, a staged workforce program or a long-term partnership, we welcome the opportunity to understand your organisation and earn your confidence through consistent delivery.</w:t>
      </w:r>
    </w:p>
    <w:p>
      <w:pPr>
        <w:spacing w:before="360"/>
      </w:pPr>
      <w:r>
        <w:rPr>
          <w:b/>
          <w:color w:val="5A1F2A"/>
        </w:rPr>
        <w:t>Scott Hilton</w:t>
        <w:br/>
        <w:t>Chief Executive Officer</w:t>
      </w:r>
    </w:p>
    <w:p>
      <w:r>
        <w:br w:type="page"/>
      </w:r>
    </w:p>
    <w:p>
      <w:pPr>
        <w:pStyle w:val="Heading1"/>
      </w:pPr>
      <w:r>
        <w:t>Who We Are</w:t>
      </w:r>
    </w:p>
    <w:p>
      <w:pPr>
        <w:pStyle w:val="BodyText"/>
      </w:pPr>
      <w:r>
        <w:t>Forky Stick Training and Safety Consultants is a Central Queensland workforce capability partner and Registered Training Organisation. We combine nationally recognised training, High Risk Work Licence pathways, non-accredited workforce development, safety consulting, digital learning and practical industry support through one locally accountable relationship.</w:t>
      </w:r>
    </w:p>
    <w:p>
      <w:pPr>
        <w:pStyle w:val="BodyText"/>
      </w:pPr>
      <w:r>
        <w:t>Our business has been built through practical experience, regional relationships and the belief that employers should be able to access responsive, high-quality workforce development without losing the honesty and accessibility of a family-run provider.</w:t>
      </w:r>
    </w:p>
    <w:tbl>
      <w:tblPr>
        <w:tblW w:type="auto" w:w="0"/>
        <w:jc w:val="center"/>
        <w:tblLayout w:type="fixed"/>
        <w:tblLook w:firstColumn="1" w:firstRow="1" w:lastColumn="0" w:lastRow="0" w:noHBand="0" w:noVBand="1" w:val="04A0"/>
      </w:tblPr>
      <w:tblGrid>
        <w:gridCol w:w="5083"/>
        <w:gridCol w:w="5083"/>
      </w:tblGrid>
      <w:tr>
        <w:tc>
          <w:tcPr>
            <w:tcW w:type="dxa" w:w="4608"/>
            <w:shd w:fill="F4F1ED"/>
            <w:tcMar>
              <w:top w:w="150" w:type="dxa"/>
              <w:start w:w="170" w:type="dxa"/>
              <w:bottom w:w="150" w:type="dxa"/>
              <w:end w:w="170" w:type="dxa"/>
            </w:tcMar>
            <w:vAlign w:val="center"/>
          </w:tcPr>
          <w:p>
            <w:r>
              <w:rPr>
                <w:b/>
                <w:color w:val="5A1F2A"/>
                <w:sz w:val="22"/>
              </w:rPr>
              <w:t>Central Queensland Based</w:t>
            </w:r>
          </w:p>
          <w:p>
            <w:pPr>
              <w:pStyle w:val="BodyText"/>
              <w:spacing w:after="0"/>
            </w:pPr>
            <w:r>
              <w:t>Local decision-making, direct access to leadership and an understanding of regional industry.</w:t>
            </w:r>
          </w:p>
        </w:tc>
        <w:tc>
          <w:tcPr>
            <w:tcW w:type="dxa" w:w="4608"/>
            <w:shd w:fill="FAF8F5"/>
            <w:tcMar>
              <w:top w:w="150" w:type="dxa"/>
              <w:start w:w="170" w:type="dxa"/>
              <w:bottom w:w="150" w:type="dxa"/>
              <w:end w:w="170" w:type="dxa"/>
            </w:tcMar>
            <w:vAlign w:val="center"/>
          </w:tcPr>
          <w:p>
            <w:r>
              <w:rPr>
                <w:b/>
                <w:color w:val="5A1F2A"/>
                <w:sz w:val="22"/>
              </w:rPr>
              <w:t>Built for Employers</w:t>
            </w:r>
          </w:p>
          <w:p>
            <w:pPr>
              <w:pStyle w:val="BodyText"/>
              <w:spacing w:after="0"/>
            </w:pPr>
            <w:r>
              <w:t>Training is planned around workforce roles, project needs, operational realities and future capability.</w:t>
            </w:r>
          </w:p>
        </w:tc>
      </w:tr>
      <w:tr>
        <w:tc>
          <w:tcPr>
            <w:tcW w:type="dxa" w:w="4608"/>
            <w:shd w:fill="F4F1ED"/>
            <w:tcMar>
              <w:top w:w="150" w:type="dxa"/>
              <w:start w:w="170" w:type="dxa"/>
              <w:bottom w:w="150" w:type="dxa"/>
              <w:end w:w="170" w:type="dxa"/>
            </w:tcMar>
            <w:vAlign w:val="center"/>
          </w:tcPr>
          <w:p>
            <w:r>
              <w:rPr>
                <w:b/>
                <w:color w:val="5A1F2A"/>
                <w:sz w:val="22"/>
              </w:rPr>
              <w:t>Practical and Accountable</w:t>
            </w:r>
          </w:p>
          <w:p>
            <w:pPr>
              <w:pStyle w:val="BodyText"/>
              <w:spacing w:after="0"/>
            </w:pPr>
            <w:r>
              <w:t>Clear communication, realistic commitments and training outcomes that can be relied upon.</w:t>
            </w:r>
          </w:p>
        </w:tc>
        <w:tc>
          <w:tcPr>
            <w:tcW w:type="dxa" w:w="4608"/>
            <w:shd w:fill="FAF8F5"/>
            <w:tcMar>
              <w:top w:w="150" w:type="dxa"/>
              <w:start w:w="170" w:type="dxa"/>
              <w:bottom w:w="150" w:type="dxa"/>
              <w:end w:w="170" w:type="dxa"/>
            </w:tcMar>
            <w:vAlign w:val="center"/>
          </w:tcPr>
          <w:p>
            <w:r>
              <w:rPr>
                <w:b/>
                <w:color w:val="5A1F2A"/>
                <w:sz w:val="22"/>
              </w:rPr>
              <w:t>Technology Enabled</w:t>
            </w:r>
          </w:p>
          <w:p>
            <w:pPr>
              <w:pStyle w:val="BodyText"/>
              <w:spacing w:after="0"/>
            </w:pPr>
            <w:r>
              <w:t>Connected online learning, administration, learner progress and certification systems.</w:t>
            </w:r>
          </w:p>
        </w:tc>
      </w:tr>
      <w:tr>
        <w:tc>
          <w:tcPr>
            <w:tcW w:type="dxa" w:w="4608"/>
            <w:shd w:fill="F4F1ED"/>
            <w:tcMar>
              <w:top w:w="150" w:type="dxa"/>
              <w:start w:w="170" w:type="dxa"/>
              <w:bottom w:w="150" w:type="dxa"/>
              <w:end w:w="170" w:type="dxa"/>
            </w:tcMar>
            <w:vAlign w:val="center"/>
          </w:tcPr>
          <w:p>
            <w:r>
              <w:rPr>
                <w:b/>
                <w:color w:val="5A1F2A"/>
                <w:sz w:val="22"/>
              </w:rPr>
              <w:t>Adaptable Delivery</w:t>
            </w:r>
          </w:p>
          <w:p>
            <w:pPr>
              <w:pStyle w:val="BodyText"/>
              <w:spacing w:after="0"/>
            </w:pPr>
            <w:r>
              <w:t>Facility-based, workplace, regional and blended delivery options where the training product permits.</w:t>
            </w:r>
          </w:p>
        </w:tc>
        <w:tc>
          <w:tcPr>
            <w:tcW w:type="dxa" w:w="4608"/>
            <w:shd w:fill="FAF8F5"/>
            <w:tcMar>
              <w:top w:w="150" w:type="dxa"/>
              <w:start w:w="170" w:type="dxa"/>
              <w:bottom w:w="150" w:type="dxa"/>
              <w:end w:w="170" w:type="dxa"/>
            </w:tcMar>
            <w:vAlign w:val="center"/>
          </w:tcPr>
          <w:p>
            <w:r>
              <w:rPr>
                <w:b/>
                <w:color w:val="5A1F2A"/>
                <w:sz w:val="22"/>
              </w:rPr>
              <w:t>Long-Term Outlook</w:t>
            </w:r>
          </w:p>
          <w:p>
            <w:pPr>
              <w:pStyle w:val="BodyText"/>
              <w:spacing w:after="0"/>
            </w:pPr>
            <w:r>
              <w:t>Capability pathways designed to grow with organisations rather than relying only on isolated bookings.</w:t>
            </w:r>
          </w:p>
        </w:tc>
      </w:tr>
    </w:tbl>
    <w:p>
      <w:pPr>
        <w:spacing w:after="0"/>
      </w:pPr>
    </w:p>
    <w:tbl>
      <w:tblPr>
        <w:tblW w:type="auto" w:w="0"/>
        <w:jc w:val="center"/>
        <w:tblLayout w:type="fixed"/>
        <w:tblLook w:firstColumn="1" w:firstRow="1" w:lastColumn="0" w:lastRow="0" w:noHBand="0" w:noVBand="1" w:val="04A0"/>
      </w:tblPr>
      <w:tblGrid>
        <w:gridCol w:w="9504"/>
      </w:tblGrid>
      <w:tr>
        <w:tc>
          <w:tcPr>
            <w:tcW w:type="dxa" w:w="10166"/>
            <w:shd w:fill="F4F1ED"/>
            <w:tcMar>
              <w:top w:w="180" w:type="dxa"/>
              <w:start w:w="220" w:type="dxa"/>
              <w:bottom w:w="180" w:type="dxa"/>
              <w:end w:w="220" w:type="dxa"/>
            </w:tcMar>
          </w:tcPr>
          <w:p>
            <w:r>
              <w:rPr>
                <w:b/>
                <w:color w:val="5A1F2A"/>
                <w:sz w:val="24"/>
              </w:rPr>
              <w:t>Our purpose</w:t>
            </w:r>
          </w:p>
          <w:p>
            <w:pPr>
              <w:pStyle w:val="BodyText"/>
            </w:pPr>
            <w:r>
              <w:t>To develop competent people who contribute to safer, more productive and more sustainable workplaces.</w:t>
            </w:r>
          </w:p>
        </w:tc>
      </w:tr>
    </w:tbl>
    <w:p>
      <w:pPr>
        <w:spacing w:after="0"/>
      </w:pPr>
    </w:p>
    <w:p>
      <w:r>
        <w:br w:type="page"/>
      </w:r>
    </w:p>
    <w:p>
      <w:pPr>
        <w:pStyle w:val="Heading1"/>
      </w:pPr>
      <w:r>
        <w:t>Why Organisations Partner with Forky Stick</w:t>
      </w:r>
    </w:p>
    <w:p>
      <w:pPr>
        <w:pStyle w:val="BodyText"/>
      </w:pPr>
      <w:r>
        <w:t>A training provider can supply a course. A workforce capability partner helps an organisation understand what skills it has, what capability it needs next and how training can be coordinated to support operations and growth.</w:t>
      </w:r>
    </w:p>
    <w:tbl>
      <w:tblPr>
        <w:tblW w:type="auto" w:w="0"/>
        <w:jc w:val="center"/>
        <w:tblLayout w:type="fixed"/>
        <w:tblLook w:firstColumn="1" w:firstRow="1" w:lastColumn="0" w:lastRow="0" w:noHBand="0" w:noVBand="1" w:val="04A0"/>
      </w:tblPr>
      <w:tblGrid>
        <w:gridCol w:w="5083"/>
        <w:gridCol w:w="5083"/>
      </w:tblGrid>
      <w:tr>
        <w:tc>
          <w:tcPr>
            <w:tcW w:type="dxa" w:w="4608"/>
            <w:shd w:fill="F4F1ED"/>
            <w:tcMar>
              <w:top w:w="150" w:type="dxa"/>
              <w:start w:w="170" w:type="dxa"/>
              <w:bottom w:w="150" w:type="dxa"/>
              <w:end w:w="170" w:type="dxa"/>
            </w:tcMar>
            <w:vAlign w:val="center"/>
          </w:tcPr>
          <w:p>
            <w:r>
              <w:rPr>
                <w:b/>
                <w:color w:val="5A1F2A"/>
                <w:sz w:val="22"/>
              </w:rPr>
              <w:t>One Accountable Relationship</w:t>
            </w:r>
          </w:p>
          <w:p>
            <w:pPr>
              <w:pStyle w:val="BodyText"/>
              <w:spacing w:after="0"/>
            </w:pPr>
            <w:r>
              <w:t>A single point of coordination across accredited training, licensing, refresher activity, non-accredited programs and workforce development.</w:t>
            </w:r>
          </w:p>
        </w:tc>
        <w:tc>
          <w:tcPr>
            <w:tcW w:type="dxa" w:w="4608"/>
            <w:shd w:fill="FAF8F5"/>
            <w:tcMar>
              <w:top w:w="150" w:type="dxa"/>
              <w:start w:w="170" w:type="dxa"/>
              <w:bottom w:w="150" w:type="dxa"/>
              <w:end w:w="170" w:type="dxa"/>
            </w:tcMar>
            <w:vAlign w:val="center"/>
          </w:tcPr>
          <w:p>
            <w:r>
              <w:rPr>
                <w:b/>
                <w:color w:val="5A1F2A"/>
                <w:sz w:val="22"/>
              </w:rPr>
              <w:t>Reduced Training Disruption</w:t>
            </w:r>
          </w:p>
          <w:p>
            <w:pPr>
              <w:pStyle w:val="BodyText"/>
              <w:spacing w:after="0"/>
            </w:pPr>
            <w:r>
              <w:t>Programs can be staged, grouped and scheduled around operational priorities, workforce availability and project requirements.</w:t>
            </w:r>
          </w:p>
        </w:tc>
      </w:tr>
      <w:tr>
        <w:tc>
          <w:tcPr>
            <w:tcW w:type="dxa" w:w="4608"/>
            <w:shd w:fill="F4F1ED"/>
            <w:tcMar>
              <w:top w:w="150" w:type="dxa"/>
              <w:start w:w="170" w:type="dxa"/>
              <w:bottom w:w="150" w:type="dxa"/>
              <w:end w:w="170" w:type="dxa"/>
            </w:tcMar>
            <w:vAlign w:val="center"/>
          </w:tcPr>
          <w:p>
            <w:r>
              <w:rPr>
                <w:b/>
                <w:color w:val="5A1F2A"/>
                <w:sz w:val="22"/>
              </w:rPr>
              <w:t>Clear Outcome Integrity</w:t>
            </w:r>
          </w:p>
          <w:p>
            <w:pPr>
              <w:pStyle w:val="BodyText"/>
              <w:spacing w:after="0"/>
            </w:pPr>
            <w:r>
              <w:t>Accredited, non-accredited, refresher and verification activities are clearly distinguished so records accurately describe the outcome achieved.</w:t>
            </w:r>
          </w:p>
        </w:tc>
        <w:tc>
          <w:tcPr>
            <w:tcW w:type="dxa" w:w="4608"/>
            <w:shd w:fill="FAF8F5"/>
            <w:tcMar>
              <w:top w:w="150" w:type="dxa"/>
              <w:start w:w="170" w:type="dxa"/>
              <w:bottom w:w="150" w:type="dxa"/>
              <w:end w:w="170" w:type="dxa"/>
            </w:tcMar>
            <w:vAlign w:val="center"/>
          </w:tcPr>
          <w:p>
            <w:r>
              <w:rPr>
                <w:b/>
                <w:color w:val="5A1F2A"/>
                <w:sz w:val="22"/>
              </w:rPr>
              <w:t>Regional Responsiveness</w:t>
            </w:r>
          </w:p>
          <w:p>
            <w:pPr>
              <w:pStyle w:val="BodyText"/>
              <w:spacing w:after="0"/>
            </w:pPr>
            <w:r>
              <w:t>Local leadership and established Rockhampton facilities support faster decisions and practical delivery across Central Queensland.</w:t>
            </w:r>
          </w:p>
        </w:tc>
      </w:tr>
      <w:tr>
        <w:tc>
          <w:tcPr>
            <w:tcW w:type="dxa" w:w="4608"/>
            <w:shd w:fill="F4F1ED"/>
            <w:tcMar>
              <w:top w:w="150" w:type="dxa"/>
              <w:start w:w="170" w:type="dxa"/>
              <w:bottom w:w="150" w:type="dxa"/>
              <w:end w:w="170" w:type="dxa"/>
            </w:tcMar>
            <w:vAlign w:val="center"/>
          </w:tcPr>
          <w:p>
            <w:r>
              <w:rPr>
                <w:b/>
                <w:color w:val="5A1F2A"/>
                <w:sz w:val="22"/>
              </w:rPr>
              <w:t>Workforce Visibility</w:t>
            </w:r>
          </w:p>
          <w:p>
            <w:pPr>
              <w:pStyle w:val="BodyText"/>
              <w:spacing w:after="0"/>
            </w:pPr>
            <w:r>
              <w:t>Connected systems support learner progress, trainer results, certification processing and reliable training records.</w:t>
            </w:r>
          </w:p>
        </w:tc>
        <w:tc>
          <w:tcPr>
            <w:tcW w:type="dxa" w:w="4608"/>
            <w:shd w:fill="FAF8F5"/>
            <w:tcMar>
              <w:top w:w="150" w:type="dxa"/>
              <w:start w:w="170" w:type="dxa"/>
              <w:bottom w:w="150" w:type="dxa"/>
              <w:end w:w="170" w:type="dxa"/>
            </w:tcMar>
            <w:vAlign w:val="center"/>
          </w:tcPr>
          <w:p>
            <w:r>
              <w:rPr>
                <w:b/>
                <w:color w:val="5A1F2A"/>
                <w:sz w:val="22"/>
              </w:rPr>
              <w:t>Capability That Can Grow</w:t>
            </w:r>
          </w:p>
          <w:p>
            <w:pPr>
              <w:pStyle w:val="BodyText"/>
              <w:spacing w:after="0"/>
            </w:pPr>
            <w:r>
              <w:t>Services can expand with workforce numbers, new projects, emerging licence needs and future qualification requirements.</w:t>
            </w:r>
          </w:p>
        </w:tc>
      </w:tr>
    </w:tbl>
    <w:p>
      <w:pPr>
        <w:spacing w:after="0"/>
      </w:pPr>
    </w:p>
    <w:tbl>
      <w:tblPr>
        <w:tblW w:type="auto" w:w="0"/>
        <w:jc w:val="center"/>
        <w:tblLayout w:type="fixed"/>
        <w:tblLook w:firstColumn="1" w:firstRow="1" w:lastColumn="0" w:lastRow="0" w:noHBand="0" w:noVBand="1" w:val="04A0"/>
      </w:tblPr>
      <w:tblGrid>
        <w:gridCol w:w="9504"/>
      </w:tblGrid>
      <w:tr>
        <w:tc>
          <w:tcPr>
            <w:tcW w:type="dxa" w:w="10166"/>
            <w:shd w:fill="F4F1ED"/>
            <w:tcMar>
              <w:top w:w="180" w:type="dxa"/>
              <w:start w:w="220" w:type="dxa"/>
              <w:bottom w:w="180" w:type="dxa"/>
              <w:end w:w="220" w:type="dxa"/>
            </w:tcMar>
          </w:tcPr>
          <w:p>
            <w:r>
              <w:rPr>
                <w:b/>
                <w:color w:val="5A1F2A"/>
                <w:sz w:val="24"/>
              </w:rPr>
              <w:t>The partnership difference</w:t>
            </w:r>
          </w:p>
          <w:p>
            <w:pPr>
              <w:pStyle w:val="BodyText"/>
            </w:pPr>
            <w:r>
              <w:t>We seek to understand the organisation behind the booking. This allows training to support workforce planning, mobilisation, role progression, compliance and succession—not merely course completion.</w:t>
            </w:r>
          </w:p>
        </w:tc>
      </w:tr>
    </w:tbl>
    <w:p>
      <w:pPr>
        <w:spacing w:after="0"/>
      </w:pPr>
    </w:p>
    <w:p>
      <w:r>
        <w:br w:type="page"/>
      </w:r>
    </w:p>
    <w:p>
      <w:pPr>
        <w:pStyle w:val="Heading1"/>
      </w:pPr>
      <w:r>
        <w:t>How We Support Employers</w:t>
      </w:r>
    </w:p>
    <w:p>
      <w:pPr>
        <w:pStyle w:val="BodyText"/>
      </w:pPr>
      <w:r>
        <w:t>Forky Stick can support the full workforce development lifecycle, from identifying needs through to delivery, outcome reporting and future planning.</w:t>
      </w:r>
    </w:p>
    <w:tbl>
      <w:tblPr>
        <w:tblW w:type="auto" w:w="0"/>
        <w:jc w:val="center"/>
        <w:tblLayout w:type="fixed"/>
        <w:tblLook w:firstColumn="1" w:firstRow="1" w:lastColumn="0" w:lastRow="0" w:noHBand="0" w:noVBand="1" w:val="04A0"/>
      </w:tblPr>
      <w:tblGrid>
        <w:gridCol w:w="9504"/>
      </w:tblGrid>
      <w:tr>
        <w:tc>
          <w:tcPr>
            <w:tcW w:type="dxa" w:w="10166"/>
            <w:shd w:fill="FAF8F5"/>
            <w:tcMar>
              <w:top w:w="180" w:type="dxa"/>
              <w:start w:w="220" w:type="dxa"/>
              <w:bottom w:w="180" w:type="dxa"/>
              <w:end w:w="220" w:type="dxa"/>
            </w:tcMar>
          </w:tcPr>
          <w:p>
            <w:r>
              <w:rPr>
                <w:b/>
                <w:color w:val="5A1F2A"/>
                <w:sz w:val="24"/>
              </w:rPr>
              <w:t>1. Understand</w:t>
            </w:r>
          </w:p>
          <w:p>
            <w:pPr>
              <w:pStyle w:val="BodyText"/>
            </w:pPr>
            <w:r>
              <w:t>Workforce roles, current capability, operational risks, project requirements and organisational priorities.</w:t>
            </w:r>
          </w:p>
        </w:tc>
      </w:tr>
    </w:tbl>
    <w:p>
      <w:pPr>
        <w:spacing w:after="0"/>
      </w:pPr>
    </w:p>
    <w:tbl>
      <w:tblPr>
        <w:tblW w:type="auto" w:w="0"/>
        <w:jc w:val="center"/>
        <w:tblLayout w:type="fixed"/>
        <w:tblLook w:firstColumn="1" w:firstRow="1" w:lastColumn="0" w:lastRow="0" w:noHBand="0" w:noVBand="1" w:val="04A0"/>
      </w:tblPr>
      <w:tblGrid>
        <w:gridCol w:w="9504"/>
      </w:tblGrid>
      <w:tr>
        <w:tc>
          <w:tcPr>
            <w:tcW w:type="dxa" w:w="10166"/>
            <w:shd w:fill="FAF8F5"/>
            <w:tcMar>
              <w:top w:w="180" w:type="dxa"/>
              <w:start w:w="220" w:type="dxa"/>
              <w:bottom w:w="180" w:type="dxa"/>
              <w:end w:w="220" w:type="dxa"/>
            </w:tcMar>
          </w:tcPr>
          <w:p>
            <w:r>
              <w:rPr>
                <w:b/>
                <w:color w:val="5A1F2A"/>
                <w:sz w:val="24"/>
              </w:rPr>
              <w:t>2. Plan</w:t>
            </w:r>
          </w:p>
          <w:p>
            <w:pPr>
              <w:pStyle w:val="BodyText"/>
            </w:pPr>
            <w:r>
              <w:t>Training pathways, licence requirements, cohorts, timing, locations, prerequisites and suitable delivery methods.</w:t>
            </w:r>
          </w:p>
        </w:tc>
      </w:tr>
    </w:tbl>
    <w:p>
      <w:pPr>
        <w:spacing w:after="0"/>
      </w:pPr>
    </w:p>
    <w:tbl>
      <w:tblPr>
        <w:tblW w:type="auto" w:w="0"/>
        <w:jc w:val="center"/>
        <w:tblLayout w:type="fixed"/>
        <w:tblLook w:firstColumn="1" w:firstRow="1" w:lastColumn="0" w:lastRow="0" w:noHBand="0" w:noVBand="1" w:val="04A0"/>
      </w:tblPr>
      <w:tblGrid>
        <w:gridCol w:w="9504"/>
      </w:tblGrid>
      <w:tr>
        <w:tc>
          <w:tcPr>
            <w:tcW w:type="dxa" w:w="10166"/>
            <w:shd w:fill="FAF8F5"/>
            <w:tcMar>
              <w:top w:w="180" w:type="dxa"/>
              <w:start w:w="220" w:type="dxa"/>
              <w:bottom w:w="180" w:type="dxa"/>
              <w:end w:w="220" w:type="dxa"/>
            </w:tcMar>
          </w:tcPr>
          <w:p>
            <w:r>
              <w:rPr>
                <w:b/>
                <w:color w:val="5A1F2A"/>
                <w:sz w:val="24"/>
              </w:rPr>
              <w:t>3. Prepare</w:t>
            </w:r>
          </w:p>
          <w:p>
            <w:pPr>
              <w:pStyle w:val="BodyText"/>
            </w:pPr>
            <w:r>
              <w:t>Enrolment, eligibility checks, resources, learner support, online access, equipment and scheduling.</w:t>
            </w:r>
          </w:p>
        </w:tc>
      </w:tr>
    </w:tbl>
    <w:p>
      <w:pPr>
        <w:spacing w:after="0"/>
      </w:pPr>
    </w:p>
    <w:tbl>
      <w:tblPr>
        <w:tblW w:type="auto" w:w="0"/>
        <w:jc w:val="center"/>
        <w:tblLayout w:type="fixed"/>
        <w:tblLook w:firstColumn="1" w:firstRow="1" w:lastColumn="0" w:lastRow="0" w:noHBand="0" w:noVBand="1" w:val="04A0"/>
      </w:tblPr>
      <w:tblGrid>
        <w:gridCol w:w="9504"/>
      </w:tblGrid>
      <w:tr>
        <w:tc>
          <w:tcPr>
            <w:tcW w:type="dxa" w:w="10166"/>
            <w:shd w:fill="FAF8F5"/>
            <w:tcMar>
              <w:top w:w="180" w:type="dxa"/>
              <w:start w:w="220" w:type="dxa"/>
              <w:bottom w:w="180" w:type="dxa"/>
              <w:end w:w="220" w:type="dxa"/>
            </w:tcMar>
          </w:tcPr>
          <w:p>
            <w:r>
              <w:rPr>
                <w:b/>
                <w:color w:val="5A1F2A"/>
                <w:sz w:val="24"/>
              </w:rPr>
              <w:t>4. Deliver</w:t>
            </w:r>
          </w:p>
          <w:p>
            <w:pPr>
              <w:pStyle w:val="BodyText"/>
            </w:pPr>
            <w:r>
              <w:t>Trainer-led, online, practical, workplace or blended learning according to the selected program.</w:t>
            </w:r>
          </w:p>
        </w:tc>
      </w:tr>
    </w:tbl>
    <w:p>
      <w:pPr>
        <w:spacing w:after="0"/>
      </w:pPr>
    </w:p>
    <w:tbl>
      <w:tblPr>
        <w:tblW w:type="auto" w:w="0"/>
        <w:jc w:val="center"/>
        <w:tblLayout w:type="fixed"/>
        <w:tblLook w:firstColumn="1" w:firstRow="1" w:lastColumn="0" w:lastRow="0" w:noHBand="0" w:noVBand="1" w:val="04A0"/>
      </w:tblPr>
      <w:tblGrid>
        <w:gridCol w:w="9504"/>
      </w:tblGrid>
      <w:tr>
        <w:tc>
          <w:tcPr>
            <w:tcW w:type="dxa" w:w="10166"/>
            <w:shd w:fill="FAF8F5"/>
            <w:tcMar>
              <w:top w:w="180" w:type="dxa"/>
              <w:start w:w="220" w:type="dxa"/>
              <w:bottom w:w="180" w:type="dxa"/>
              <w:end w:w="220" w:type="dxa"/>
            </w:tcMar>
          </w:tcPr>
          <w:p>
            <w:r>
              <w:rPr>
                <w:b/>
                <w:color w:val="5A1F2A"/>
                <w:sz w:val="24"/>
              </w:rPr>
              <w:t>5. Assess or Verify</w:t>
            </w:r>
          </w:p>
          <w:p>
            <w:pPr>
              <w:pStyle w:val="BodyText"/>
            </w:pPr>
            <w:r>
              <w:t>Formal assessment, refresher evidence, VOC activity or participation checks as applicable.</w:t>
            </w:r>
          </w:p>
        </w:tc>
      </w:tr>
    </w:tbl>
    <w:p>
      <w:pPr>
        <w:spacing w:after="0"/>
      </w:pPr>
    </w:p>
    <w:tbl>
      <w:tblPr>
        <w:tblW w:type="auto" w:w="0"/>
        <w:jc w:val="center"/>
        <w:tblLayout w:type="fixed"/>
        <w:tblLook w:firstColumn="1" w:firstRow="1" w:lastColumn="0" w:lastRow="0" w:noHBand="0" w:noVBand="1" w:val="04A0"/>
      </w:tblPr>
      <w:tblGrid>
        <w:gridCol w:w="9504"/>
      </w:tblGrid>
      <w:tr>
        <w:tc>
          <w:tcPr>
            <w:tcW w:type="dxa" w:w="10166"/>
            <w:shd w:fill="FAF8F5"/>
            <w:tcMar>
              <w:top w:w="180" w:type="dxa"/>
              <w:start w:w="220" w:type="dxa"/>
              <w:bottom w:w="180" w:type="dxa"/>
              <w:end w:w="220" w:type="dxa"/>
            </w:tcMar>
          </w:tcPr>
          <w:p>
            <w:r>
              <w:rPr>
                <w:b/>
                <w:color w:val="5A1F2A"/>
                <w:sz w:val="24"/>
              </w:rPr>
              <w:t>6. Record and Report</w:t>
            </w:r>
          </w:p>
          <w:p>
            <w:pPr>
              <w:pStyle w:val="BodyText"/>
            </w:pPr>
            <w:r>
              <w:t>Accurate results, learner records, employer reporting and certification processing.</w:t>
            </w:r>
          </w:p>
        </w:tc>
      </w:tr>
    </w:tbl>
    <w:p>
      <w:pPr>
        <w:spacing w:after="0"/>
      </w:pPr>
    </w:p>
    <w:tbl>
      <w:tblPr>
        <w:tblW w:type="auto" w:w="0"/>
        <w:jc w:val="center"/>
        <w:tblLayout w:type="fixed"/>
        <w:tblLook w:firstColumn="1" w:firstRow="1" w:lastColumn="0" w:lastRow="0" w:noHBand="0" w:noVBand="1" w:val="04A0"/>
      </w:tblPr>
      <w:tblGrid>
        <w:gridCol w:w="9504"/>
      </w:tblGrid>
      <w:tr>
        <w:tc>
          <w:tcPr>
            <w:tcW w:type="dxa" w:w="10166"/>
            <w:shd w:fill="FAF8F5"/>
            <w:tcMar>
              <w:top w:w="180" w:type="dxa"/>
              <w:start w:w="220" w:type="dxa"/>
              <w:bottom w:w="180" w:type="dxa"/>
              <w:end w:w="220" w:type="dxa"/>
            </w:tcMar>
          </w:tcPr>
          <w:p>
            <w:r>
              <w:rPr>
                <w:b/>
                <w:color w:val="5A1F2A"/>
                <w:sz w:val="24"/>
              </w:rPr>
              <w:t>7. Review and Develop</w:t>
            </w:r>
          </w:p>
          <w:p>
            <w:pPr>
              <w:pStyle w:val="BodyText"/>
            </w:pPr>
            <w:r>
              <w:t>Identify gaps, future project needs, licence progression, leadership pathways and refresher requirements.</w:t>
            </w:r>
          </w:p>
        </w:tc>
      </w:tr>
    </w:tbl>
    <w:p>
      <w:pPr>
        <w:spacing w:after="0"/>
      </w:pPr>
    </w:p>
    <w:p>
      <w:r>
        <w:br w:type="page"/>
      </w:r>
    </w:p>
    <w:p>
      <w:pPr>
        <w:pStyle w:val="Heading1"/>
      </w:pPr>
      <w:r>
        <w:t>What We Deliver</w:t>
      </w:r>
    </w:p>
    <w:p>
      <w:pPr>
        <w:pStyle w:val="BodyText"/>
      </w:pPr>
      <w:r>
        <w:t>Our capability spans nationally recognised and employer-specific workforce development. Detailed current offerings are maintained in the Forky Stick Training Suite Capabilities schedule.</w:t>
      </w:r>
    </w:p>
    <w:tbl>
      <w:tblPr>
        <w:tblW w:type="auto" w:w="0"/>
        <w:jc w:val="center"/>
        <w:tblLayout w:type="fixed"/>
        <w:tblLook w:firstColumn="1" w:firstRow="1" w:lastColumn="0" w:lastRow="0" w:noHBand="0" w:noVBand="1" w:val="04A0"/>
      </w:tblPr>
      <w:tblGrid>
        <w:gridCol w:w="5083"/>
        <w:gridCol w:w="5083"/>
      </w:tblGrid>
      <w:tr>
        <w:tc>
          <w:tcPr>
            <w:tcW w:type="dxa" w:w="4608"/>
            <w:shd w:fill="F4F1ED"/>
            <w:tcMar>
              <w:top w:w="150" w:type="dxa"/>
              <w:start w:w="170" w:type="dxa"/>
              <w:bottom w:w="150" w:type="dxa"/>
              <w:end w:w="170" w:type="dxa"/>
            </w:tcMar>
            <w:vAlign w:val="center"/>
          </w:tcPr>
          <w:p>
            <w:r>
              <w:rPr>
                <w:b/>
                <w:color w:val="5A1F2A"/>
                <w:sz w:val="22"/>
              </w:rPr>
              <w:t>Nationally Recognised Training</w:t>
            </w:r>
          </w:p>
          <w:p>
            <w:pPr>
              <w:pStyle w:val="BodyText"/>
              <w:spacing w:after="0"/>
            </w:pPr>
            <w:r>
              <w:t>Units of competency, skill sets and qualifications within approved scope and delivery arrangements.</w:t>
            </w:r>
          </w:p>
        </w:tc>
        <w:tc>
          <w:tcPr>
            <w:tcW w:type="dxa" w:w="4608"/>
            <w:shd w:fill="FAF8F5"/>
            <w:tcMar>
              <w:top w:w="150" w:type="dxa"/>
              <w:start w:w="170" w:type="dxa"/>
              <w:bottom w:w="150" w:type="dxa"/>
              <w:end w:w="170" w:type="dxa"/>
            </w:tcMar>
            <w:vAlign w:val="center"/>
          </w:tcPr>
          <w:p>
            <w:r>
              <w:rPr>
                <w:b/>
                <w:color w:val="5A1F2A"/>
                <w:sz w:val="22"/>
              </w:rPr>
              <w:t>High Risk Work Licensing</w:t>
            </w:r>
          </w:p>
          <w:p>
            <w:pPr>
              <w:pStyle w:val="BodyText"/>
              <w:spacing w:after="0"/>
            </w:pPr>
            <w:r>
              <w:t>Training and assessment pathways across 11 Queensland High Risk Work Licence classes.</w:t>
            </w:r>
          </w:p>
        </w:tc>
      </w:tr>
      <w:tr>
        <w:tc>
          <w:tcPr>
            <w:tcW w:type="dxa" w:w="4608"/>
            <w:shd w:fill="F4F1ED"/>
            <w:tcMar>
              <w:top w:w="150" w:type="dxa"/>
              <w:start w:w="170" w:type="dxa"/>
              <w:bottom w:w="150" w:type="dxa"/>
              <w:end w:w="170" w:type="dxa"/>
            </w:tcMar>
            <w:vAlign w:val="center"/>
          </w:tcPr>
          <w:p>
            <w:r>
              <w:rPr>
                <w:b/>
                <w:color w:val="5A1F2A"/>
                <w:sz w:val="22"/>
              </w:rPr>
              <w:t>Verification of Competency</w:t>
            </w:r>
          </w:p>
          <w:p>
            <w:pPr>
              <w:pStyle w:val="BodyText"/>
              <w:spacing w:after="0"/>
            </w:pPr>
            <w:r>
              <w:t>Employer-focused verification activities that assess whether a worker can perform specified tasks to the agreed standard.</w:t>
            </w:r>
          </w:p>
        </w:tc>
        <w:tc>
          <w:tcPr>
            <w:tcW w:type="dxa" w:w="4608"/>
            <w:shd w:fill="FAF8F5"/>
            <w:tcMar>
              <w:top w:w="150" w:type="dxa"/>
              <w:start w:w="170" w:type="dxa"/>
              <w:bottom w:w="150" w:type="dxa"/>
              <w:end w:w="170" w:type="dxa"/>
            </w:tcMar>
            <w:vAlign w:val="center"/>
          </w:tcPr>
          <w:p>
            <w:r>
              <w:rPr>
                <w:b/>
                <w:color w:val="5A1F2A"/>
                <w:sz w:val="22"/>
              </w:rPr>
              <w:t>Refresher and Gap Training</w:t>
            </w:r>
          </w:p>
          <w:p>
            <w:pPr>
              <w:pStyle w:val="BodyText"/>
              <w:spacing w:after="0"/>
            </w:pPr>
            <w:r>
              <w:t>Targeted development to refresh knowledge, address identified gaps and support ongoing workforce confidence.</w:t>
            </w:r>
          </w:p>
        </w:tc>
      </w:tr>
      <w:tr>
        <w:tc>
          <w:tcPr>
            <w:tcW w:type="dxa" w:w="4608"/>
            <w:shd w:fill="F4F1ED"/>
            <w:tcMar>
              <w:top w:w="150" w:type="dxa"/>
              <w:start w:w="170" w:type="dxa"/>
              <w:bottom w:w="150" w:type="dxa"/>
              <w:end w:w="170" w:type="dxa"/>
            </w:tcMar>
            <w:vAlign w:val="center"/>
          </w:tcPr>
          <w:p>
            <w:r>
              <w:rPr>
                <w:b/>
                <w:color w:val="5A1F2A"/>
                <w:sz w:val="22"/>
              </w:rPr>
              <w:t>Non-Accredited Programs</w:t>
            </w:r>
          </w:p>
          <w:p>
            <w:pPr>
              <w:pStyle w:val="BodyText"/>
              <w:spacing w:after="0"/>
            </w:pPr>
            <w:r>
              <w:t>Awareness, induction, familiarisation, safety, communication, leadership and workplace development programs.</w:t>
            </w:r>
          </w:p>
        </w:tc>
        <w:tc>
          <w:tcPr>
            <w:tcW w:type="dxa" w:w="4608"/>
            <w:shd w:fill="FAF8F5"/>
            <w:tcMar>
              <w:top w:w="150" w:type="dxa"/>
              <w:start w:w="170" w:type="dxa"/>
              <w:bottom w:w="150" w:type="dxa"/>
              <w:end w:w="170" w:type="dxa"/>
            </w:tcMar>
            <w:vAlign w:val="center"/>
          </w:tcPr>
          <w:p>
            <w:r>
              <w:rPr>
                <w:b/>
                <w:color w:val="5A1F2A"/>
                <w:sz w:val="22"/>
              </w:rPr>
              <w:t>Safety Consulting</w:t>
            </w:r>
          </w:p>
          <w:p>
            <w:pPr>
              <w:pStyle w:val="BodyText"/>
              <w:spacing w:after="0"/>
            </w:pPr>
            <w:r>
              <w:t>Practical assistance with systems, procedures, risk controls, training needs and workforce capability.</w:t>
            </w:r>
          </w:p>
        </w:tc>
      </w:tr>
      <w:tr>
        <w:tc>
          <w:tcPr>
            <w:tcW w:type="dxa" w:w="4608"/>
            <w:shd w:fill="F4F1ED"/>
            <w:tcMar>
              <w:top w:w="150" w:type="dxa"/>
              <w:start w:w="170" w:type="dxa"/>
              <w:bottom w:w="150" w:type="dxa"/>
              <w:end w:w="170" w:type="dxa"/>
            </w:tcMar>
            <w:vAlign w:val="center"/>
          </w:tcPr>
          <w:p>
            <w:r>
              <w:rPr>
                <w:b/>
                <w:color w:val="5A1F2A"/>
                <w:sz w:val="22"/>
              </w:rPr>
              <w:t>Virtual Reality Learning</w:t>
            </w:r>
          </w:p>
          <w:p>
            <w:pPr>
              <w:pStyle w:val="BodyText"/>
              <w:spacing w:after="0"/>
            </w:pPr>
            <w:r>
              <w:t>Scenario-based learning experiences supporting hazard recognition, communication, leadership and operational awareness.</w:t>
            </w:r>
          </w:p>
        </w:tc>
        <w:tc>
          <w:tcPr>
            <w:tcW w:type="dxa" w:w="4608"/>
            <w:shd w:fill="FAF8F5"/>
            <w:tcMar>
              <w:top w:w="150" w:type="dxa"/>
              <w:start w:w="170" w:type="dxa"/>
              <w:bottom w:w="150" w:type="dxa"/>
              <w:end w:w="170" w:type="dxa"/>
            </w:tcMar>
            <w:vAlign w:val="center"/>
          </w:tcPr>
          <w:p>
            <w:r>
              <w:rPr>
                <w:b/>
                <w:color w:val="5A1F2A"/>
                <w:sz w:val="22"/>
              </w:rPr>
              <w:t>Employer-Specific Solutions</w:t>
            </w:r>
          </w:p>
          <w:p>
            <w:pPr>
              <w:pStyle w:val="BodyText"/>
              <w:spacing w:after="0"/>
            </w:pPr>
            <w:r>
              <w:t>Closed groups, staged programs, tailored delivery schedules and capability pathways aligned to business needs.</w:t>
            </w:r>
          </w:p>
        </w:tc>
      </w:tr>
    </w:tbl>
    <w:p>
      <w:pPr>
        <w:spacing w:after="0"/>
      </w:pPr>
    </w:p>
    <w:p>
      <w:r>
        <w:br w:type="page"/>
      </w:r>
    </w:p>
    <w:p>
      <w:pPr>
        <w:pStyle w:val="Heading1"/>
      </w:pPr>
      <w:r>
        <w:t>Training Outcomes—Clear, Accurate and Honest</w:t>
      </w:r>
    </w:p>
    <w:p>
      <w:pPr>
        <w:pStyle w:val="BodyText"/>
      </w:pPr>
      <w:r>
        <w:t>Forky Stick maintains a clear distinction between nationally recognised training and non-accredited workforce development. This protects learners and employers from misunderstanding and ensures every document issued accurately represents the activity completed.</w:t>
      </w:r>
    </w:p>
    <w:tbl>
      <w:tblPr>
        <w:tblW w:type="auto" w:w="0"/>
        <w:jc w:val="center"/>
        <w:tblLayout w:type="fixed"/>
        <w:tblLook w:firstColumn="1" w:firstRow="1" w:lastColumn="0" w:lastRow="0" w:noHBand="0" w:noVBand="1" w:val="04A0"/>
      </w:tblPr>
      <w:tblGrid>
        <w:gridCol w:w="3389"/>
        <w:gridCol w:w="3389"/>
        <w:gridCol w:w="3389"/>
      </w:tblGrid>
      <w:tr>
        <w:trPr>
          <w:tblHeader w:val="true"/>
        </w:trPr>
        <w:tc>
          <w:tcPr>
            <w:tcW w:type="dxa" w:w="2160"/>
            <w:shd w:fill="5A1F2A"/>
            <w:tcMar>
              <w:top w:w="120" w:type="dxa"/>
              <w:start w:w="140" w:type="dxa"/>
              <w:bottom w:w="120" w:type="dxa"/>
              <w:end w:w="140" w:type="dxa"/>
            </w:tcMar>
          </w:tcPr>
          <w:p>
            <w:r>
              <w:rPr>
                <w:b/>
                <w:color w:val="FFFFFF"/>
              </w:rPr>
              <w:t>Program type</w:t>
            </w:r>
          </w:p>
        </w:tc>
        <w:tc>
          <w:tcPr>
            <w:tcW w:type="dxa" w:w="2880"/>
            <w:shd w:fill="5A1F2A"/>
            <w:tcMar>
              <w:top w:w="120" w:type="dxa"/>
              <w:start w:w="140" w:type="dxa"/>
              <w:bottom w:w="120" w:type="dxa"/>
              <w:end w:w="140" w:type="dxa"/>
            </w:tcMar>
          </w:tcPr>
          <w:p>
            <w:r>
              <w:rPr>
                <w:b/>
                <w:color w:val="FFFFFF"/>
              </w:rPr>
              <w:t>Possible document</w:t>
            </w:r>
          </w:p>
        </w:tc>
        <w:tc>
          <w:tcPr>
            <w:tcW w:type="dxa" w:w="4320"/>
            <w:shd w:fill="5A1F2A"/>
            <w:tcMar>
              <w:top w:w="120" w:type="dxa"/>
              <w:start w:w="140" w:type="dxa"/>
              <w:bottom w:w="120" w:type="dxa"/>
              <w:end w:w="140" w:type="dxa"/>
            </w:tcMar>
          </w:tcPr>
          <w:p>
            <w:r>
              <w:rPr>
                <w:b/>
                <w:color w:val="FFFFFF"/>
              </w:rPr>
              <w:t>What it means</w:t>
            </w:r>
          </w:p>
        </w:tc>
      </w:tr>
      <w:tr>
        <w:tc>
          <w:tcPr>
            <w:tcW w:type="dxa" w:w="2160"/>
            <w:tcMar>
              <w:top w:w="120" w:type="dxa"/>
              <w:start w:w="140" w:type="dxa"/>
              <w:bottom w:w="120" w:type="dxa"/>
              <w:end w:w="140" w:type="dxa"/>
            </w:tcMar>
            <w:vAlign w:val="center"/>
            <w:shd w:fill="FAF8F5"/>
          </w:tcPr>
          <w:p>
            <w:r>
              <w:t>Full qualification</w:t>
            </w:r>
          </w:p>
        </w:tc>
        <w:tc>
          <w:tcPr>
            <w:tcW w:type="dxa" w:w="2880"/>
            <w:tcMar>
              <w:top w:w="120" w:type="dxa"/>
              <w:start w:w="140" w:type="dxa"/>
              <w:bottom w:w="120" w:type="dxa"/>
              <w:end w:w="140" w:type="dxa"/>
            </w:tcMar>
            <w:vAlign w:val="center"/>
            <w:shd w:fill="FAF8F5"/>
          </w:tcPr>
          <w:p>
            <w:r>
              <w:t>Qualification testamur and record of results</w:t>
            </w:r>
          </w:p>
        </w:tc>
        <w:tc>
          <w:tcPr>
            <w:tcW w:type="dxa" w:w="4320"/>
            <w:tcMar>
              <w:top w:w="120" w:type="dxa"/>
              <w:start w:w="140" w:type="dxa"/>
              <w:bottom w:w="120" w:type="dxa"/>
              <w:end w:w="140" w:type="dxa"/>
            </w:tcMar>
            <w:vAlign w:val="center"/>
            <w:shd w:fill="FAF8F5"/>
          </w:tcPr>
          <w:p>
            <w:r>
              <w:t>Issued only when all requirements of the qualification have been successfully completed and verified.</w:t>
            </w:r>
          </w:p>
        </w:tc>
      </w:tr>
      <w:tr>
        <w:tc>
          <w:tcPr>
            <w:tcW w:type="dxa" w:w="2160"/>
            <w:tcMar>
              <w:top w:w="120" w:type="dxa"/>
              <w:start w:w="140" w:type="dxa"/>
              <w:bottom w:w="120" w:type="dxa"/>
              <w:end w:w="140" w:type="dxa"/>
            </w:tcMar>
            <w:vAlign w:val="center"/>
          </w:tcPr>
          <w:p>
            <w:r>
              <w:t>Unit or skill set</w:t>
            </w:r>
          </w:p>
        </w:tc>
        <w:tc>
          <w:tcPr>
            <w:tcW w:type="dxa" w:w="2880"/>
            <w:tcMar>
              <w:top w:w="120" w:type="dxa"/>
              <w:start w:w="140" w:type="dxa"/>
              <w:bottom w:w="120" w:type="dxa"/>
              <w:end w:w="140" w:type="dxa"/>
            </w:tcMar>
            <w:vAlign w:val="center"/>
          </w:tcPr>
          <w:p>
            <w:r>
              <w:t>Statement of Attainment</w:t>
            </w:r>
          </w:p>
        </w:tc>
        <w:tc>
          <w:tcPr>
            <w:tcW w:type="dxa" w:w="4320"/>
            <w:tcMar>
              <w:top w:w="120" w:type="dxa"/>
              <w:start w:w="140" w:type="dxa"/>
              <w:bottom w:w="120" w:type="dxa"/>
              <w:end w:w="140" w:type="dxa"/>
            </w:tcMar>
            <w:vAlign w:val="center"/>
          </w:tcPr>
          <w:p>
            <w:r>
              <w:t>Issued following successful completion and verification of the relevant nationally recognised units.</w:t>
            </w:r>
          </w:p>
        </w:tc>
      </w:tr>
      <w:tr>
        <w:tc>
          <w:tcPr>
            <w:tcW w:type="dxa" w:w="2160"/>
            <w:tcMar>
              <w:top w:w="120" w:type="dxa"/>
              <w:start w:w="140" w:type="dxa"/>
              <w:bottom w:w="120" w:type="dxa"/>
              <w:end w:w="140" w:type="dxa"/>
            </w:tcMar>
            <w:vAlign w:val="center"/>
            <w:shd w:fill="FAF8F5"/>
          </w:tcPr>
          <w:p>
            <w:r>
              <w:t>Refresher or employer program</w:t>
            </w:r>
          </w:p>
        </w:tc>
        <w:tc>
          <w:tcPr>
            <w:tcW w:type="dxa" w:w="2880"/>
            <w:tcMar>
              <w:top w:w="120" w:type="dxa"/>
              <w:start w:w="140" w:type="dxa"/>
              <w:bottom w:w="120" w:type="dxa"/>
              <w:end w:w="140" w:type="dxa"/>
            </w:tcMar>
            <w:vAlign w:val="center"/>
            <w:shd w:fill="FAF8F5"/>
          </w:tcPr>
          <w:p>
            <w:r>
              <w:t>Certificate of Completion, participation record or employer report</w:t>
            </w:r>
          </w:p>
        </w:tc>
        <w:tc>
          <w:tcPr>
            <w:tcW w:type="dxa" w:w="4320"/>
            <w:tcMar>
              <w:top w:w="120" w:type="dxa"/>
              <w:start w:w="140" w:type="dxa"/>
              <w:bottom w:w="120" w:type="dxa"/>
              <w:end w:w="140" w:type="dxa"/>
            </w:tcMar>
            <w:vAlign w:val="center"/>
            <w:shd w:fill="FAF8F5"/>
          </w:tcPr>
          <w:p>
            <w:r>
              <w:t>Does not create a new nationally recognised outcome unless separately assessed under an approved training product.</w:t>
            </w:r>
          </w:p>
        </w:tc>
      </w:tr>
      <w:tr>
        <w:tc>
          <w:tcPr>
            <w:tcW w:type="dxa" w:w="2160"/>
            <w:tcMar>
              <w:top w:w="120" w:type="dxa"/>
              <w:start w:w="140" w:type="dxa"/>
              <w:bottom w:w="120" w:type="dxa"/>
              <w:end w:w="140" w:type="dxa"/>
            </w:tcMar>
            <w:vAlign w:val="center"/>
          </w:tcPr>
          <w:p>
            <w:r>
              <w:t>Verification of Competency</w:t>
            </w:r>
          </w:p>
        </w:tc>
        <w:tc>
          <w:tcPr>
            <w:tcW w:type="dxa" w:w="2880"/>
            <w:tcMar>
              <w:top w:w="120" w:type="dxa"/>
              <w:start w:w="140" w:type="dxa"/>
              <w:bottom w:w="120" w:type="dxa"/>
              <w:end w:w="140" w:type="dxa"/>
            </w:tcMar>
            <w:vAlign w:val="center"/>
          </w:tcPr>
          <w:p>
            <w:r>
              <w:t>VOC record or employer report</w:t>
            </w:r>
          </w:p>
        </w:tc>
        <w:tc>
          <w:tcPr>
            <w:tcW w:type="dxa" w:w="4320"/>
            <w:tcMar>
              <w:top w:w="120" w:type="dxa"/>
              <w:start w:w="140" w:type="dxa"/>
              <w:bottom w:w="120" w:type="dxa"/>
              <w:end w:w="140" w:type="dxa"/>
            </w:tcMar>
            <w:vAlign w:val="center"/>
          </w:tcPr>
          <w:p>
            <w:r>
              <w:t>Records the verification activity and result; it is not a qualification or Statement of Attainment.</w:t>
            </w:r>
          </w:p>
        </w:tc>
      </w:tr>
      <w:tr>
        <w:tc>
          <w:tcPr>
            <w:tcW w:type="dxa" w:w="2160"/>
            <w:tcMar>
              <w:top w:w="120" w:type="dxa"/>
              <w:start w:w="140" w:type="dxa"/>
              <w:bottom w:w="120" w:type="dxa"/>
              <w:end w:w="140" w:type="dxa"/>
            </w:tcMar>
            <w:vAlign w:val="center"/>
            <w:shd w:fill="FAF8F5"/>
          </w:tcPr>
          <w:p>
            <w:r>
              <w:t>Awareness or virtual reality experience</w:t>
            </w:r>
          </w:p>
        </w:tc>
        <w:tc>
          <w:tcPr>
            <w:tcW w:type="dxa" w:w="2880"/>
            <w:tcMar>
              <w:top w:w="120" w:type="dxa"/>
              <w:start w:w="140" w:type="dxa"/>
              <w:bottom w:w="120" w:type="dxa"/>
              <w:end w:w="140" w:type="dxa"/>
            </w:tcMar>
            <w:vAlign w:val="center"/>
            <w:shd w:fill="FAF8F5"/>
          </w:tcPr>
          <w:p>
            <w:r>
              <w:t>Completion or participation record where applicable</w:t>
            </w:r>
          </w:p>
        </w:tc>
        <w:tc>
          <w:tcPr>
            <w:tcW w:type="dxa" w:w="4320"/>
            <w:tcMar>
              <w:top w:w="120" w:type="dxa"/>
              <w:start w:w="140" w:type="dxa"/>
              <w:bottom w:w="120" w:type="dxa"/>
              <w:end w:w="140" w:type="dxa"/>
            </w:tcMar>
            <w:vAlign w:val="center"/>
            <w:shd w:fill="FAF8F5"/>
          </w:tcPr>
          <w:p>
            <w:r>
              <w:t>Non-accredited unless explicitly identified and delivered as part of an approved accredited program.</w:t>
            </w:r>
          </w:p>
        </w:tc>
      </w:tr>
    </w:tbl>
    <w:tbl>
      <w:tblPr>
        <w:tblW w:type="auto" w:w="0"/>
        <w:jc w:val="center"/>
        <w:tblLayout w:type="fixed"/>
        <w:tblLook w:firstColumn="1" w:firstRow="1" w:lastColumn="0" w:lastRow="0" w:noHBand="0" w:noVBand="1" w:val="04A0"/>
      </w:tblPr>
      <w:tblGrid>
        <w:gridCol w:w="9504"/>
      </w:tblGrid>
      <w:tr>
        <w:tc>
          <w:tcPr>
            <w:tcW w:type="dxa" w:w="10166"/>
            <w:shd w:fill="F4F1ED"/>
            <w:tcMar>
              <w:top w:w="180" w:type="dxa"/>
              <w:start w:w="220" w:type="dxa"/>
              <w:bottom w:w="180" w:type="dxa"/>
              <w:end w:w="220" w:type="dxa"/>
            </w:tcMar>
          </w:tcPr>
          <w:p>
            <w:r>
              <w:rPr>
                <w:b/>
                <w:color w:val="5A1F2A"/>
                <w:sz w:val="24"/>
              </w:rPr>
              <w:t>Important</w:t>
            </w:r>
          </w:p>
          <w:p>
            <w:pPr>
              <w:pStyle w:val="BodyText"/>
            </w:pPr>
            <w:r>
              <w:t>Course availability, eligibility, assessment arrangements and the document issued depend on the selected training product, successful completion, verification requirements and Forky Stick’s approved scope and delivery arrangements.</w:t>
            </w:r>
          </w:p>
        </w:tc>
      </w:tr>
    </w:tbl>
    <w:p>
      <w:pPr>
        <w:spacing w:after="0"/>
      </w:pPr>
    </w:p>
    <w:p>
      <w:r>
        <w:br w:type="page"/>
      </w:r>
    </w:p>
    <w:p>
      <w:pPr>
        <w:pStyle w:val="Heading1"/>
      </w:pPr>
      <w:r>
        <w:t>High Risk Work Licence Capability</w:t>
      </w:r>
    </w:p>
    <w:p>
      <w:pPr>
        <w:pStyle w:val="BodyText"/>
      </w:pPr>
      <w:r>
        <w:t>Forky Stick supports Queensland High Risk Work Licence training and assessment across 11 licence classes, backed by established facilities, practical training areas, administrative systems and licence-specific trainer and assessor arrangements.</w:t>
      </w:r>
    </w:p>
    <w:p>
      <w:pPr>
        <w:pStyle w:val="Heading2"/>
      </w:pPr>
      <w:r>
        <w:t>Employer benefits</w:t>
      </w:r>
    </w:p>
    <w:p>
      <w:pPr>
        <w:pStyle w:val="ListBullet"/>
      </w:pPr>
      <w:r>
        <w:t>Licence development pathways for new and existing workers.</w:t>
      </w:r>
    </w:p>
    <w:p>
      <w:pPr>
        <w:pStyle w:val="ListBullet"/>
      </w:pPr>
      <w:r>
        <w:t>Closed employer groups and negotiated workforce programs.</w:t>
      </w:r>
    </w:p>
    <w:p>
      <w:pPr>
        <w:pStyle w:val="ListBullet"/>
      </w:pPr>
      <w:r>
        <w:t>Integration of theory, practical preparation and formal assessment requirements.</w:t>
      </w:r>
    </w:p>
    <w:p>
      <w:pPr>
        <w:pStyle w:val="ListBullet"/>
      </w:pPr>
      <w:r>
        <w:t>Capability to support mobilisation, workforce flexibility and role progression.</w:t>
      </w:r>
    </w:p>
    <w:p>
      <w:pPr>
        <w:pStyle w:val="ListBullet"/>
      </w:pPr>
      <w:r>
        <w:t>Local facilities and regional delivery options subject to the class, equipment and assessment requirements.</w:t>
      </w:r>
    </w:p>
    <w:p>
      <w:pPr>
        <w:pStyle w:val="ListBullet"/>
      </w:pPr>
      <w:r>
        <w:t>Connected enrolment, result entry and certification administration.</w:t>
      </w:r>
    </w:p>
    <w:tbl>
      <w:tblPr>
        <w:tblW w:type="auto" w:w="0"/>
        <w:jc w:val="center"/>
        <w:tblLayout w:type="fixed"/>
        <w:tblLook w:firstColumn="1" w:firstRow="1" w:lastColumn="0" w:lastRow="0" w:noHBand="0" w:noVBand="1" w:val="04A0"/>
      </w:tblPr>
      <w:tblGrid>
        <w:gridCol w:w="9504"/>
      </w:tblGrid>
      <w:tr>
        <w:tc>
          <w:tcPr>
            <w:tcW w:type="dxa" w:w="10166"/>
            <w:shd w:fill="F4F1ED"/>
            <w:tcMar>
              <w:top w:w="180" w:type="dxa"/>
              <w:start w:w="220" w:type="dxa"/>
              <w:bottom w:w="180" w:type="dxa"/>
              <w:end w:w="220" w:type="dxa"/>
            </w:tcMar>
          </w:tcPr>
          <w:p>
            <w:r>
              <w:rPr>
                <w:b/>
                <w:color w:val="5A1F2A"/>
                <w:sz w:val="24"/>
              </w:rPr>
              <w:t>A practical delivery base</w:t>
            </w:r>
          </w:p>
          <w:p>
            <w:pPr>
              <w:pStyle w:val="BodyText"/>
            </w:pPr>
            <w:r>
              <w:t>Our Rockhampton facilities and existing resources allow employer programs to commence from an established operating base rather than depending on future infrastructure development.</w:t>
            </w:r>
          </w:p>
        </w:tc>
      </w:tr>
    </w:tbl>
    <w:p>
      <w:pPr>
        <w:spacing w:after="0"/>
      </w:pPr>
    </w:p>
    <w:p>
      <w:pPr>
        <w:pStyle w:val="BodyText"/>
      </w:pPr>
      <w:r>
        <w:t>The exact licence classes, dates, participant eligibility, assessment conditions and equipment requirements are confirmed during program planning. Forky Stick will not represent a class as available unless the required delivery and assessment arrangements are in place.</w:t>
      </w:r>
    </w:p>
    <w:p>
      <w:r>
        <w:br w:type="page"/>
      </w:r>
    </w:p>
    <w:p>
      <w:pPr>
        <w:pStyle w:val="Heading1"/>
      </w:pPr>
      <w:r>
        <w:t>Digital Learning and Workforce Visibility</w:t>
      </w:r>
    </w:p>
    <w:p>
      <w:pPr>
        <w:pStyle w:val="BodyText"/>
      </w:pPr>
      <w:r>
        <w:t>Forky Stick uses the Ammonite student management and learning system, accessed through our website, to connect learners, trainers, administration and training records. The technology is not the service by itself; its value is the visibility, continuity and reduced administration it can provide to employers.</w:t>
      </w:r>
    </w:p>
    <w:tbl>
      <w:tblPr>
        <w:tblW w:type="auto" w:w="0"/>
        <w:jc w:val="center"/>
        <w:tblLayout w:type="fixed"/>
        <w:tblLook w:firstColumn="1" w:firstRow="1" w:lastColumn="0" w:lastRow="0" w:noHBand="0" w:noVBand="1" w:val="04A0"/>
      </w:tblPr>
      <w:tblGrid>
        <w:gridCol w:w="5083"/>
        <w:gridCol w:w="5083"/>
      </w:tblGrid>
      <w:tr>
        <w:tc>
          <w:tcPr>
            <w:tcW w:type="dxa" w:w="4608"/>
            <w:shd w:fill="F4F1ED"/>
            <w:tcMar>
              <w:top w:w="150" w:type="dxa"/>
              <w:start w:w="170" w:type="dxa"/>
              <w:bottom w:w="150" w:type="dxa"/>
              <w:end w:w="170" w:type="dxa"/>
            </w:tcMar>
            <w:vAlign w:val="center"/>
          </w:tcPr>
          <w:p>
            <w:r>
              <w:rPr>
                <w:b/>
                <w:color w:val="5A1F2A"/>
                <w:sz w:val="22"/>
              </w:rPr>
              <w:t>Online Access</w:t>
            </w:r>
          </w:p>
          <w:p>
            <w:pPr>
              <w:pStyle w:val="BodyText"/>
              <w:spacing w:after="0"/>
            </w:pPr>
            <w:r>
              <w:t>Learners can access suitable online theory and supporting resources through a consistent platform.</w:t>
            </w:r>
          </w:p>
        </w:tc>
        <w:tc>
          <w:tcPr>
            <w:tcW w:type="dxa" w:w="4608"/>
            <w:shd w:fill="FAF8F5"/>
            <w:tcMar>
              <w:top w:w="150" w:type="dxa"/>
              <w:start w:w="170" w:type="dxa"/>
              <w:bottom w:w="150" w:type="dxa"/>
              <w:end w:w="170" w:type="dxa"/>
            </w:tcMar>
            <w:vAlign w:val="center"/>
          </w:tcPr>
          <w:p>
            <w:r>
              <w:rPr>
                <w:b/>
                <w:color w:val="5A1F2A"/>
                <w:sz w:val="22"/>
              </w:rPr>
              <w:t>Progress Visibility</w:t>
            </w:r>
          </w:p>
          <w:p>
            <w:pPr>
              <w:pStyle w:val="BodyText"/>
              <w:spacing w:after="0"/>
            </w:pPr>
            <w:r>
              <w:t>Connected administration supports timely visibility of learner activity and outstanding requirements.</w:t>
            </w:r>
          </w:p>
        </w:tc>
      </w:tr>
      <w:tr>
        <w:tc>
          <w:tcPr>
            <w:tcW w:type="dxa" w:w="4608"/>
            <w:shd w:fill="F4F1ED"/>
            <w:tcMar>
              <w:top w:w="150" w:type="dxa"/>
              <w:start w:w="170" w:type="dxa"/>
              <w:bottom w:w="150" w:type="dxa"/>
              <w:end w:w="170" w:type="dxa"/>
            </w:tcMar>
            <w:vAlign w:val="center"/>
          </w:tcPr>
          <w:p>
            <w:r>
              <w:rPr>
                <w:b/>
                <w:color w:val="5A1F2A"/>
                <w:sz w:val="22"/>
              </w:rPr>
              <w:t>Trainer Result Entry</w:t>
            </w:r>
          </w:p>
          <w:p>
            <w:pPr>
              <w:pStyle w:val="BodyText"/>
              <w:spacing w:after="0"/>
            </w:pPr>
            <w:r>
              <w:t>Results can be entered without relying on slow manual transfer between locations.</w:t>
            </w:r>
          </w:p>
        </w:tc>
        <w:tc>
          <w:tcPr>
            <w:tcW w:type="dxa" w:w="4608"/>
            <w:shd w:fill="FAF8F5"/>
            <w:tcMar>
              <w:top w:w="150" w:type="dxa"/>
              <w:start w:w="170" w:type="dxa"/>
              <w:bottom w:w="150" w:type="dxa"/>
              <w:end w:w="170" w:type="dxa"/>
            </w:tcMar>
            <w:vAlign w:val="center"/>
          </w:tcPr>
          <w:p>
            <w:r>
              <w:rPr>
                <w:b/>
                <w:color w:val="5A1F2A"/>
                <w:sz w:val="22"/>
              </w:rPr>
              <w:t>Certification Processing</w:t>
            </w:r>
          </w:p>
          <w:p>
            <w:pPr>
              <w:pStyle w:val="BodyText"/>
              <w:spacing w:after="0"/>
            </w:pPr>
            <w:r>
              <w:t>Statements of Attainment and qualification documents can be processed promptly once successful completion and verification are confirmed.</w:t>
            </w:r>
          </w:p>
        </w:tc>
      </w:tr>
      <w:tr>
        <w:tc>
          <w:tcPr>
            <w:tcW w:type="dxa" w:w="4608"/>
            <w:shd w:fill="F4F1ED"/>
            <w:tcMar>
              <w:top w:w="150" w:type="dxa"/>
              <w:start w:w="170" w:type="dxa"/>
              <w:bottom w:w="150" w:type="dxa"/>
              <w:end w:w="170" w:type="dxa"/>
            </w:tcMar>
            <w:vAlign w:val="center"/>
          </w:tcPr>
          <w:p>
            <w:r>
              <w:rPr>
                <w:b/>
                <w:color w:val="5A1F2A"/>
                <w:sz w:val="22"/>
              </w:rPr>
              <w:t>Central Records</w:t>
            </w:r>
          </w:p>
          <w:p>
            <w:pPr>
              <w:pStyle w:val="BodyText"/>
              <w:spacing w:after="0"/>
            </w:pPr>
            <w:r>
              <w:t>Learner information and training outcomes are maintained through coordinated systems.</w:t>
            </w:r>
          </w:p>
        </w:tc>
        <w:tc>
          <w:tcPr>
            <w:tcW w:type="dxa" w:w="4608"/>
            <w:shd w:fill="FAF8F5"/>
            <w:tcMar>
              <w:top w:w="150" w:type="dxa"/>
              <w:start w:w="170" w:type="dxa"/>
              <w:bottom w:w="150" w:type="dxa"/>
              <w:end w:w="170" w:type="dxa"/>
            </w:tcMar>
            <w:vAlign w:val="center"/>
          </w:tcPr>
          <w:p>
            <w:r>
              <w:rPr>
                <w:b/>
                <w:color w:val="5A1F2A"/>
                <w:sz w:val="22"/>
              </w:rPr>
              <w:t>Multi-Site Support</w:t>
            </w:r>
          </w:p>
          <w:p>
            <w:pPr>
              <w:pStyle w:val="BodyText"/>
              <w:spacing w:after="0"/>
            </w:pPr>
            <w:r>
              <w:t>The model can support multiple courses, crews, projects and locations concurrently.</w:t>
            </w:r>
          </w:p>
        </w:tc>
      </w:tr>
    </w:tbl>
    <w:p>
      <w:pPr>
        <w:spacing w:after="0"/>
      </w:pPr>
    </w:p>
    <w:p>
      <w:pPr>
        <w:pStyle w:val="Heading2"/>
      </w:pPr>
      <w:r>
        <w:t>Virtual reality and scenario-based learning</w:t>
      </w:r>
    </w:p>
    <w:p>
      <w:pPr>
        <w:pStyle w:val="BodyText"/>
      </w:pPr>
      <w:r>
        <w:t>The Next World virtual reality suite can support agreed programs involving hazard recognition, high-risk work awareness, plant interaction, emergency response, maintenance safety, communication, leadership, inclusion and conflict management. These experiences supplement—not replace—formal assessment or practical training where those requirements apply.</w:t>
      </w:r>
    </w:p>
    <w:p>
      <w:r>
        <w:br w:type="page"/>
      </w:r>
    </w:p>
    <w:p>
      <w:pPr>
        <w:pStyle w:val="Heading1"/>
      </w:pPr>
      <w:r>
        <w:t>Flexible Delivery Built Around Operations</w:t>
      </w:r>
    </w:p>
    <w:p>
      <w:pPr>
        <w:pStyle w:val="BodyText"/>
      </w:pPr>
      <w:r>
        <w:t>Workplaces do not operate around a training provider’s convenience. Forky Stick works with employers to shape delivery around operational priorities while maintaining the requirements of the training product, safety obligations and assessment integrity.</w:t>
      </w:r>
    </w:p>
    <w:tbl>
      <w:tblPr>
        <w:tblW w:type="auto" w:w="0"/>
        <w:jc w:val="center"/>
        <w:tblLayout w:type="fixed"/>
        <w:tblLook w:firstColumn="1" w:firstRow="1" w:lastColumn="0" w:lastRow="0" w:noHBand="0" w:noVBand="1" w:val="04A0"/>
      </w:tblPr>
      <w:tblGrid>
        <w:gridCol w:w="5083"/>
        <w:gridCol w:w="5083"/>
      </w:tblGrid>
      <w:tr>
        <w:tc>
          <w:tcPr>
            <w:tcW w:type="dxa" w:w="4608"/>
            <w:shd w:fill="F4F1ED"/>
            <w:tcMar>
              <w:top w:w="150" w:type="dxa"/>
              <w:start w:w="170" w:type="dxa"/>
              <w:bottom w:w="150" w:type="dxa"/>
              <w:end w:w="170" w:type="dxa"/>
            </w:tcMar>
            <w:vAlign w:val="center"/>
          </w:tcPr>
          <w:p>
            <w:r>
              <w:rPr>
                <w:b/>
                <w:color w:val="5A1F2A"/>
                <w:sz w:val="22"/>
              </w:rPr>
              <w:t>Forky Stick Facilities</w:t>
            </w:r>
          </w:p>
          <w:p>
            <w:pPr>
              <w:pStyle w:val="BodyText"/>
              <w:spacing w:after="0"/>
            </w:pPr>
            <w:r>
              <w:t>Training rooms, practical areas, learner amenities and established administration in Rockhampton.</w:t>
            </w:r>
          </w:p>
        </w:tc>
        <w:tc>
          <w:tcPr>
            <w:tcW w:type="dxa" w:w="4608"/>
            <w:shd w:fill="FAF8F5"/>
            <w:tcMar>
              <w:top w:w="150" w:type="dxa"/>
              <w:start w:w="170" w:type="dxa"/>
              <w:bottom w:w="150" w:type="dxa"/>
              <w:end w:w="170" w:type="dxa"/>
            </w:tcMar>
            <w:vAlign w:val="center"/>
          </w:tcPr>
          <w:p>
            <w:r>
              <w:rPr>
                <w:b/>
                <w:color w:val="5A1F2A"/>
                <w:sz w:val="22"/>
              </w:rPr>
              <w:t>Client-Site Delivery</w:t>
            </w:r>
          </w:p>
          <w:p>
            <w:pPr>
              <w:pStyle w:val="BodyText"/>
              <w:spacing w:after="0"/>
            </w:pPr>
            <w:r>
              <w:t>Workplace delivery where the environment, equipment, permissions and training requirements are suitable.</w:t>
            </w:r>
          </w:p>
        </w:tc>
      </w:tr>
      <w:tr>
        <w:tc>
          <w:tcPr>
            <w:tcW w:type="dxa" w:w="4608"/>
            <w:shd w:fill="F4F1ED"/>
            <w:tcMar>
              <w:top w:w="150" w:type="dxa"/>
              <w:start w:w="170" w:type="dxa"/>
              <w:bottom w:w="150" w:type="dxa"/>
              <w:end w:w="170" w:type="dxa"/>
            </w:tcMar>
            <w:vAlign w:val="center"/>
          </w:tcPr>
          <w:p>
            <w:r>
              <w:rPr>
                <w:b/>
                <w:color w:val="5A1F2A"/>
                <w:sz w:val="22"/>
              </w:rPr>
              <w:t>Regional Delivery</w:t>
            </w:r>
          </w:p>
          <w:p>
            <w:pPr>
              <w:pStyle w:val="BodyText"/>
              <w:spacing w:after="0"/>
            </w:pPr>
            <w:r>
              <w:t>Negotiated delivery at agreed locations across Central Queensland and Queensland.</w:t>
            </w:r>
          </w:p>
        </w:tc>
        <w:tc>
          <w:tcPr>
            <w:tcW w:type="dxa" w:w="4608"/>
            <w:shd w:fill="FAF8F5"/>
            <w:tcMar>
              <w:top w:w="150" w:type="dxa"/>
              <w:start w:w="170" w:type="dxa"/>
              <w:bottom w:w="150" w:type="dxa"/>
              <w:end w:w="170" w:type="dxa"/>
            </w:tcMar>
            <w:vAlign w:val="center"/>
          </w:tcPr>
          <w:p>
            <w:r>
              <w:rPr>
                <w:b/>
                <w:color w:val="5A1F2A"/>
                <w:sz w:val="22"/>
              </w:rPr>
              <w:t>Online Learning</w:t>
            </w:r>
          </w:p>
          <w:p>
            <w:pPr>
              <w:pStyle w:val="BodyText"/>
              <w:spacing w:after="0"/>
            </w:pPr>
            <w:r>
              <w:t>Online theory and support for suitable programs, with trainer assistance where required.</w:t>
            </w:r>
          </w:p>
        </w:tc>
      </w:tr>
      <w:tr>
        <w:tc>
          <w:tcPr>
            <w:tcW w:type="dxa" w:w="4608"/>
            <w:shd w:fill="F4F1ED"/>
            <w:tcMar>
              <w:top w:w="150" w:type="dxa"/>
              <w:start w:w="170" w:type="dxa"/>
              <w:bottom w:w="150" w:type="dxa"/>
              <w:end w:w="170" w:type="dxa"/>
            </w:tcMar>
            <w:vAlign w:val="center"/>
          </w:tcPr>
          <w:p>
            <w:r>
              <w:rPr>
                <w:b/>
                <w:color w:val="5A1F2A"/>
                <w:sz w:val="22"/>
              </w:rPr>
              <w:t>Blended Programs</w:t>
            </w:r>
          </w:p>
          <w:p>
            <w:pPr>
              <w:pStyle w:val="BodyText"/>
              <w:spacing w:after="0"/>
            </w:pPr>
            <w:r>
              <w:t>A planned combination of online, trainer-led and practical components.</w:t>
            </w:r>
          </w:p>
        </w:tc>
        <w:tc>
          <w:tcPr>
            <w:tcW w:type="dxa" w:w="4608"/>
            <w:shd w:fill="FAF8F5"/>
            <w:tcMar>
              <w:top w:w="150" w:type="dxa"/>
              <w:start w:w="170" w:type="dxa"/>
              <w:bottom w:w="150" w:type="dxa"/>
              <w:end w:w="170" w:type="dxa"/>
            </w:tcMar>
            <w:vAlign w:val="center"/>
          </w:tcPr>
          <w:p>
            <w:r>
              <w:rPr>
                <w:b/>
                <w:color w:val="5A1F2A"/>
                <w:sz w:val="22"/>
              </w:rPr>
              <w:t>Staged Workforce Programs</w:t>
            </w:r>
          </w:p>
          <w:p>
            <w:pPr>
              <w:pStyle w:val="BodyText"/>
              <w:spacing w:after="0"/>
            </w:pPr>
            <w:r>
              <w:t>Cohorts and training streams sequenced around workforce availability, projects and role progression.</w:t>
            </w:r>
          </w:p>
        </w:tc>
      </w:tr>
    </w:tbl>
    <w:p>
      <w:pPr>
        <w:spacing w:after="0"/>
      </w:pPr>
    </w:p>
    <w:tbl>
      <w:tblPr>
        <w:tblW w:type="auto" w:w="0"/>
        <w:jc w:val="center"/>
        <w:tblLayout w:type="fixed"/>
        <w:tblLook w:firstColumn="1" w:firstRow="1" w:lastColumn="0" w:lastRow="0" w:noHBand="0" w:noVBand="1" w:val="04A0"/>
      </w:tblPr>
      <w:tblGrid>
        <w:gridCol w:w="9504"/>
      </w:tblGrid>
      <w:tr>
        <w:tc>
          <w:tcPr>
            <w:tcW w:type="dxa" w:w="10166"/>
            <w:shd w:fill="F4F1ED"/>
            <w:tcMar>
              <w:top w:w="180" w:type="dxa"/>
              <w:start w:w="220" w:type="dxa"/>
              <w:bottom w:w="180" w:type="dxa"/>
              <w:end w:w="220" w:type="dxa"/>
            </w:tcMar>
          </w:tcPr>
          <w:p>
            <w:r>
              <w:rPr>
                <w:b/>
                <w:color w:val="5A1F2A"/>
                <w:sz w:val="24"/>
              </w:rPr>
              <w:t>Adaptability with integrity</w:t>
            </w:r>
          </w:p>
          <w:p>
            <w:pPr>
              <w:pStyle w:val="BodyText"/>
            </w:pPr>
            <w:r>
              <w:t>Flexibility does not mean reducing required learning, assessment or safety standards. It means finding the most practical compliant way to achieve the required capability outcome.</w:t>
            </w:r>
          </w:p>
        </w:tc>
      </w:tr>
    </w:tbl>
    <w:p>
      <w:pPr>
        <w:spacing w:after="0"/>
      </w:pPr>
    </w:p>
    <w:p>
      <w:r>
        <w:br w:type="page"/>
      </w:r>
    </w:p>
    <w:p>
      <w:pPr>
        <w:pStyle w:val="Heading1"/>
      </w:pPr>
      <w:r>
        <w:t>Industries We Support</w:t>
      </w:r>
    </w:p>
    <w:p>
      <w:pPr>
        <w:pStyle w:val="BodyText"/>
      </w:pPr>
      <w:r>
        <w:t>Our capability is relevant to organisations that rely on competent people, practical safety systems and reliable workforce records.</w:t>
      </w:r>
    </w:p>
    <w:tbl>
      <w:tblPr>
        <w:tblW w:type="auto" w:w="0"/>
        <w:jc w:val="center"/>
        <w:tblLayout w:type="fixed"/>
        <w:tblLook w:firstColumn="1" w:firstRow="1" w:lastColumn="0" w:lastRow="0" w:noHBand="0" w:noVBand="1" w:val="04A0"/>
      </w:tblPr>
      <w:tblGrid>
        <w:gridCol w:w="5083"/>
        <w:gridCol w:w="5083"/>
      </w:tblGrid>
      <w:tr>
        <w:tc>
          <w:tcPr>
            <w:tcW w:type="dxa" w:w="4608"/>
            <w:shd w:fill="F4F1ED"/>
            <w:tcMar>
              <w:top w:w="150" w:type="dxa"/>
              <w:start w:w="170" w:type="dxa"/>
              <w:bottom w:w="150" w:type="dxa"/>
              <w:end w:w="170" w:type="dxa"/>
            </w:tcMar>
            <w:vAlign w:val="center"/>
          </w:tcPr>
          <w:p>
            <w:r>
              <w:rPr>
                <w:b/>
                <w:color w:val="5A1F2A"/>
                <w:sz w:val="22"/>
              </w:rPr>
              <w:t>Mining and Resources</w:t>
            </w:r>
          </w:p>
          <w:p>
            <w:pPr>
              <w:pStyle w:val="BodyText"/>
              <w:spacing w:after="0"/>
            </w:pPr>
            <w:r>
              <w:t>Surface operations, high-risk work, plant, safety, supervision and workforce development.</w:t>
            </w:r>
          </w:p>
        </w:tc>
        <w:tc>
          <w:tcPr>
            <w:tcW w:type="dxa" w:w="4608"/>
            <w:shd w:fill="FAF8F5"/>
            <w:tcMar>
              <w:top w:w="150" w:type="dxa"/>
              <w:start w:w="170" w:type="dxa"/>
              <w:bottom w:w="150" w:type="dxa"/>
              <w:end w:w="170" w:type="dxa"/>
            </w:tcMar>
            <w:vAlign w:val="center"/>
          </w:tcPr>
          <w:p>
            <w:r>
              <w:rPr>
                <w:b/>
                <w:color w:val="5A1F2A"/>
                <w:sz w:val="22"/>
              </w:rPr>
              <w:t>Civil Construction</w:t>
            </w:r>
          </w:p>
          <w:p>
            <w:pPr>
              <w:pStyle w:val="BodyText"/>
              <w:spacing w:after="0"/>
            </w:pPr>
            <w:r>
              <w:t>Plant, high-risk work, safety, project capability and planned qualification pathways.</w:t>
            </w:r>
          </w:p>
        </w:tc>
      </w:tr>
      <w:tr>
        <w:tc>
          <w:tcPr>
            <w:tcW w:type="dxa" w:w="4608"/>
            <w:shd w:fill="F4F1ED"/>
            <w:tcMar>
              <w:top w:w="150" w:type="dxa"/>
              <w:start w:w="170" w:type="dxa"/>
              <w:bottom w:w="150" w:type="dxa"/>
              <w:end w:w="170" w:type="dxa"/>
            </w:tcMar>
            <w:vAlign w:val="center"/>
          </w:tcPr>
          <w:p>
            <w:r>
              <w:rPr>
                <w:b/>
                <w:color w:val="5A1F2A"/>
                <w:sz w:val="22"/>
              </w:rPr>
              <w:t>Transport and Logistics</w:t>
            </w:r>
          </w:p>
          <w:p>
            <w:pPr>
              <w:pStyle w:val="BodyText"/>
              <w:spacing w:after="0"/>
            </w:pPr>
            <w:r>
              <w:t>Licensing, plant interaction, safety awareness and planned driving operations pathways.</w:t>
            </w:r>
          </w:p>
        </w:tc>
        <w:tc>
          <w:tcPr>
            <w:tcW w:type="dxa" w:w="4608"/>
            <w:shd w:fill="FAF8F5"/>
            <w:tcMar>
              <w:top w:w="150" w:type="dxa"/>
              <w:start w:w="170" w:type="dxa"/>
              <w:bottom w:w="150" w:type="dxa"/>
              <w:end w:w="170" w:type="dxa"/>
            </w:tcMar>
            <w:vAlign w:val="center"/>
          </w:tcPr>
          <w:p>
            <w:r>
              <w:rPr>
                <w:b/>
                <w:color w:val="5A1F2A"/>
                <w:sz w:val="22"/>
              </w:rPr>
              <w:t>Manufacturing and Workshops</w:t>
            </w:r>
          </w:p>
          <w:p>
            <w:pPr>
              <w:pStyle w:val="BodyText"/>
              <w:spacing w:after="0"/>
            </w:pPr>
            <w:r>
              <w:t>High-risk work, lifting, plant, isolation, safety and role-specific capability.</w:t>
            </w:r>
          </w:p>
        </w:tc>
      </w:tr>
      <w:tr>
        <w:tc>
          <w:tcPr>
            <w:tcW w:type="dxa" w:w="4608"/>
            <w:shd w:fill="F4F1ED"/>
            <w:tcMar>
              <w:top w:w="150" w:type="dxa"/>
              <w:start w:w="170" w:type="dxa"/>
              <w:bottom w:w="150" w:type="dxa"/>
              <w:end w:w="170" w:type="dxa"/>
            </w:tcMar>
            <w:vAlign w:val="center"/>
          </w:tcPr>
          <w:p>
            <w:r>
              <w:rPr>
                <w:b/>
                <w:color w:val="5A1F2A"/>
                <w:sz w:val="22"/>
              </w:rPr>
              <w:t>Agriculture and Rural Industry</w:t>
            </w:r>
          </w:p>
          <w:p>
            <w:pPr>
              <w:pStyle w:val="BodyText"/>
              <w:spacing w:after="0"/>
            </w:pPr>
            <w:r>
              <w:t>Plant, tractors, safety, first aid and practical workforce development.</w:t>
            </w:r>
          </w:p>
        </w:tc>
        <w:tc>
          <w:tcPr>
            <w:tcW w:type="dxa" w:w="4608"/>
            <w:shd w:fill="FAF8F5"/>
            <w:tcMar>
              <w:top w:w="150" w:type="dxa"/>
              <w:start w:w="170" w:type="dxa"/>
              <w:bottom w:w="150" w:type="dxa"/>
              <w:end w:w="170" w:type="dxa"/>
            </w:tcMar>
            <w:vAlign w:val="center"/>
          </w:tcPr>
          <w:p>
            <w:r>
              <w:rPr>
                <w:b/>
                <w:color w:val="5A1F2A"/>
                <w:sz w:val="22"/>
              </w:rPr>
              <w:t>Government and Councils</w:t>
            </w:r>
          </w:p>
          <w:p>
            <w:pPr>
              <w:pStyle w:val="BodyText"/>
              <w:spacing w:after="0"/>
            </w:pPr>
            <w:r>
              <w:t>Workforce compliance, licensing, safety, plant and structured development programs.</w:t>
            </w:r>
          </w:p>
        </w:tc>
      </w:tr>
      <w:tr>
        <w:tc>
          <w:tcPr>
            <w:tcW w:type="dxa" w:w="4608"/>
            <w:shd w:fill="F4F1ED"/>
            <w:tcMar>
              <w:top w:w="150" w:type="dxa"/>
              <w:start w:w="170" w:type="dxa"/>
              <w:bottom w:w="150" w:type="dxa"/>
              <w:end w:w="170" w:type="dxa"/>
            </w:tcMar>
            <w:vAlign w:val="center"/>
          </w:tcPr>
          <w:p>
            <w:r>
              <w:rPr>
                <w:b/>
                <w:color w:val="5A1F2A"/>
                <w:sz w:val="22"/>
              </w:rPr>
              <w:t>Energy, Utilities and Infrastructure</w:t>
            </w:r>
          </w:p>
          <w:p>
            <w:pPr>
              <w:pStyle w:val="BodyText"/>
              <w:spacing w:after="0"/>
            </w:pPr>
            <w:r>
              <w:t>High-risk work, site capability, hazard awareness and employer-specific programs.</w:t>
            </w:r>
          </w:p>
        </w:tc>
        <w:tc>
          <w:tcPr>
            <w:tcW w:type="dxa" w:w="4608"/>
            <w:shd w:fill="FAF8F5"/>
            <w:tcMar>
              <w:top w:w="150" w:type="dxa"/>
              <w:start w:w="170" w:type="dxa"/>
              <w:bottom w:w="150" w:type="dxa"/>
              <w:end w:w="170" w:type="dxa"/>
            </w:tcMar>
            <w:vAlign w:val="center"/>
          </w:tcPr>
          <w:p>
            <w:r>
              <w:rPr>
                <w:b/>
                <w:color w:val="5A1F2A"/>
                <w:sz w:val="22"/>
              </w:rPr>
              <w:t>Contractors and Labour Providers</w:t>
            </w:r>
          </w:p>
          <w:p>
            <w:pPr>
              <w:pStyle w:val="BodyText"/>
              <w:spacing w:after="0"/>
            </w:pPr>
            <w:r>
              <w:t>Mobilisation support, licence development, refresher activity and workforce records.</w:t>
            </w:r>
          </w:p>
        </w:tc>
      </w:tr>
    </w:tbl>
    <w:p>
      <w:pPr>
        <w:spacing w:after="0"/>
      </w:pPr>
    </w:p>
    <w:p>
      <w:r>
        <w:br w:type="page"/>
      </w:r>
    </w:p>
    <w:p>
      <w:pPr>
        <w:pStyle w:val="Heading1"/>
      </w:pPr>
      <w:r>
        <w:t>Building Long-Term Workforce Partnerships</w:t>
      </w:r>
    </w:p>
    <w:p>
      <w:pPr>
        <w:pStyle w:val="BodyText"/>
      </w:pPr>
      <w:r>
        <w:t>Our preferred relationships are built over time. We aim to learn how an organisation operates, understand its workforce and help anticipate the capability required for future projects and growth.</w:t>
      </w:r>
    </w:p>
    <w:p>
      <w:pPr>
        <w:pStyle w:val="Heading2"/>
      </w:pPr>
      <w:r>
        <w:t>What long-term success can look like</w:t>
      </w:r>
    </w:p>
    <w:p>
      <w:pPr>
        <w:pStyle w:val="ListBullet"/>
      </w:pPr>
      <w:r>
        <w:t>A clearer view of workforce licences, competencies and development needs.</w:t>
      </w:r>
    </w:p>
    <w:p>
      <w:pPr>
        <w:pStyle w:val="ListBullet"/>
      </w:pPr>
      <w:r>
        <w:t>Consistent training standards across projects, crews and locations.</w:t>
      </w:r>
    </w:p>
    <w:p>
      <w:pPr>
        <w:pStyle w:val="ListBullet"/>
      </w:pPr>
      <w:r>
        <w:t>Faster mobilisation of workers with the required training and documentation.</w:t>
      </w:r>
    </w:p>
    <w:p>
      <w:pPr>
        <w:pStyle w:val="ListBullet"/>
      </w:pPr>
      <w:r>
        <w:t>Reduced administrative duplication and fewer disconnected provider relationships.</w:t>
      </w:r>
    </w:p>
    <w:p>
      <w:pPr>
        <w:pStyle w:val="ListBullet"/>
      </w:pPr>
      <w:r>
        <w:t>Progression pathways for operators, experienced workers, supervisors and future leaders.</w:t>
      </w:r>
    </w:p>
    <w:p>
      <w:pPr>
        <w:pStyle w:val="ListBullet"/>
      </w:pPr>
      <w:r>
        <w:t>Refresher and verification activities planned before gaps become operational problems.</w:t>
      </w:r>
    </w:p>
    <w:p>
      <w:pPr>
        <w:pStyle w:val="ListBullet"/>
      </w:pPr>
      <w:r>
        <w:t>A training partner that already understands the organisation and can respond as requirements change.</w:t>
      </w:r>
    </w:p>
    <w:tbl>
      <w:tblPr>
        <w:tblW w:type="auto" w:w="0"/>
        <w:jc w:val="center"/>
        <w:tblLayout w:type="fixed"/>
        <w:tblLook w:firstColumn="1" w:firstRow="1" w:lastColumn="0" w:lastRow="0" w:noHBand="0" w:noVBand="1" w:val="04A0"/>
      </w:tblPr>
      <w:tblGrid>
        <w:gridCol w:w="9504"/>
      </w:tblGrid>
      <w:tr>
        <w:tc>
          <w:tcPr>
            <w:tcW w:type="dxa" w:w="10166"/>
            <w:shd w:fill="F4F1ED"/>
            <w:tcMar>
              <w:top w:w="180" w:type="dxa"/>
              <w:start w:w="220" w:type="dxa"/>
              <w:bottom w:w="180" w:type="dxa"/>
              <w:end w:w="220" w:type="dxa"/>
            </w:tcMar>
          </w:tcPr>
          <w:p>
            <w:r>
              <w:rPr>
                <w:b/>
                <w:color w:val="5A1F2A"/>
                <w:sz w:val="24"/>
              </w:rPr>
              <w:t>Our commitment</w:t>
            </w:r>
          </w:p>
          <w:p>
            <w:pPr>
              <w:pStyle w:val="BodyText"/>
            </w:pPr>
            <w:r>
              <w:t>We seek to earn trust through honest advice, dependable delivery, accurate records and continual improvement. We will protect the integrity of training outcomes even where that requires a difficult conversation or a different solution.</w:t>
            </w:r>
          </w:p>
        </w:tc>
      </w:tr>
    </w:tbl>
    <w:p>
      <w:pPr>
        <w:spacing w:after="0"/>
      </w:pPr>
    </w:p>
    <w:p>
      <w:r>
        <w:br w:type="page"/>
      </w:r>
    </w:p>
    <w:p>
      <w:pPr>
        <w:pStyle w:val="Heading1"/>
      </w:pPr>
      <w:r>
        <w:t>Future-Ready Capability</w:t>
      </w:r>
    </w:p>
    <w:p>
      <w:pPr>
        <w:pStyle w:val="BodyText"/>
      </w:pPr>
      <w:r>
        <w:t>Forky Stick continues to develop its facilities, systems, learning technology and industry partnerships so our capability can evolve with regional workforce demand.</w:t>
      </w:r>
    </w:p>
    <w:p>
      <w:pPr>
        <w:pStyle w:val="BodyText"/>
      </w:pPr>
      <w:r>
        <w:t>Planned development areas may include additional civil construction and driving operations qualifications, expanded employer-specific workforce programs, further digital learning, increased virtual reality integration and new service models shaped through genuine industry need.</w:t>
      </w:r>
    </w:p>
    <w:tbl>
      <w:tblPr>
        <w:tblW w:type="auto" w:w="0"/>
        <w:jc w:val="center"/>
        <w:tblLayout w:type="fixed"/>
        <w:tblLook w:firstColumn="1" w:firstRow="1" w:lastColumn="0" w:lastRow="0" w:noHBand="0" w:noVBand="1" w:val="04A0"/>
      </w:tblPr>
      <w:tblGrid>
        <w:gridCol w:w="9504"/>
      </w:tblGrid>
      <w:tr>
        <w:tc>
          <w:tcPr>
            <w:tcW w:type="dxa" w:w="10166"/>
            <w:shd w:fill="F4F1ED"/>
            <w:tcMar>
              <w:top w:w="180" w:type="dxa"/>
              <w:start w:w="220" w:type="dxa"/>
              <w:bottom w:w="180" w:type="dxa"/>
              <w:end w:w="220" w:type="dxa"/>
            </w:tcMar>
          </w:tcPr>
          <w:p>
            <w:r>
              <w:rPr>
                <w:b/>
                <w:color w:val="5A1F2A"/>
                <w:sz w:val="24"/>
              </w:rPr>
              <w:t>No premature claims</w:t>
            </w:r>
          </w:p>
          <w:p>
            <w:pPr>
              <w:pStyle w:val="BodyText"/>
            </w:pPr>
            <w:r>
              <w:t>Planned qualifications and future services are not represented as currently available until the required commercial, resource, quality and regulatory arrangements have been completed.</w:t>
            </w:r>
          </w:p>
        </w:tc>
      </w:tr>
    </w:tbl>
    <w:p>
      <w:pPr>
        <w:spacing w:after="0"/>
      </w:pPr>
    </w:p>
    <w:p>
      <w:pPr>
        <w:pStyle w:val="Heading2"/>
      </w:pPr>
      <w:r>
        <w:t>Why Central Queensland matters</w:t>
      </w:r>
    </w:p>
    <w:p>
      <w:pPr>
        <w:pStyle w:val="BodyText"/>
      </w:pPr>
      <w:r>
        <w:t>We believe regional organisations deserve access to workforce development of the same quality available anywhere in Australia. Local capability supports employment, reduces unnecessary travel, strengthens regional supply chains and keeps knowledge and opportunity within the communities that create it.</w:t>
      </w:r>
    </w:p>
    <w:p>
      <w:r>
        <w:br w:type="page"/>
      </w:r>
    </w:p>
    <w:p>
      <w:pPr>
        <w:pStyle w:val="Heading1"/>
      </w:pPr>
      <w:r>
        <w:t>Let’s Build Capability Together</w:t>
      </w:r>
    </w:p>
    <w:p>
      <w:pPr>
        <w:pStyle w:val="BodyText"/>
      </w:pPr>
      <w:r>
        <w:t>Every successful organisation depends on capable people. Whether your business requires nationally recognised training, High Risk Work Licence pathways, verification, refresher training, online learning, safety consulting or a tailored workforce program, Forky Stick is ready to listen and discuss a practical way forward.</w:t>
      </w:r>
    </w:p>
    <w:tbl>
      <w:tblPr>
        <w:tblW w:type="auto" w:w="0"/>
        <w:jc w:val="center"/>
        <w:tblLayout w:type="fixed"/>
        <w:tblLook w:firstColumn="1" w:firstRow="1" w:lastColumn="0" w:lastRow="0" w:noHBand="0" w:noVBand="1" w:val="04A0"/>
      </w:tblPr>
      <w:tblGrid>
        <w:gridCol w:w="9504"/>
      </w:tblGrid>
      <w:tr>
        <w:tc>
          <w:tcPr>
            <w:tcW w:type="dxa" w:w="10166"/>
            <w:shd w:fill="F4F1ED"/>
            <w:tcMar>
              <w:top w:w="180" w:type="dxa"/>
              <w:start w:w="220" w:type="dxa"/>
              <w:bottom w:w="180" w:type="dxa"/>
              <w:end w:w="220" w:type="dxa"/>
            </w:tcMar>
          </w:tcPr>
          <w:p>
            <w:r>
              <w:rPr>
                <w:b/>
                <w:color w:val="5A1F2A"/>
                <w:sz w:val="24"/>
              </w:rPr>
              <w:t>Start with a capability conversation</w:t>
            </w:r>
          </w:p>
          <w:p>
            <w:pPr>
              <w:pStyle w:val="BodyText"/>
            </w:pPr>
            <w:r>
              <w:t>Tell us about your workforce, projects, locations and future direction. We will help identify what can be delivered now, what may require further planning and how a sustainable training relationship could be structured.</w:t>
            </w:r>
          </w:p>
        </w:tc>
      </w:tr>
    </w:tbl>
    <w:p>
      <w:pPr>
        <w:spacing w:after="0"/>
      </w:pPr>
    </w:p>
    <w:tbl>
      <w:tblPr>
        <w:tblW w:type="auto" w:w="0"/>
        <w:jc w:val="center"/>
        <w:tblLayout w:type="fixed"/>
        <w:tblLook w:firstColumn="1" w:firstRow="1" w:lastColumn="0" w:lastRow="0" w:noHBand="0" w:noVBand="1" w:val="04A0"/>
      </w:tblPr>
      <w:tblGrid>
        <w:gridCol w:w="5083"/>
        <w:gridCol w:w="5083"/>
      </w:tblGrid>
      <w:tr>
        <w:tc>
          <w:tcPr>
            <w:tcW w:type="dxa" w:w="2160"/>
            <w:shd w:fill="5A1F2A"/>
            <w:tcMar>
              <w:top w:w="120" w:type="dxa"/>
              <w:start w:w="140" w:type="dxa"/>
              <w:bottom w:w="120" w:type="dxa"/>
              <w:end w:w="140" w:type="dxa"/>
            </w:tcMar>
          </w:tcPr>
          <w:p>
            <w:r>
              <w:rPr>
                <w:b/>
                <w:color w:val="FFFFFF"/>
              </w:rPr>
              <w:t>Organisation</w:t>
            </w:r>
          </w:p>
        </w:tc>
        <w:tc>
          <w:tcPr>
            <w:tcW w:type="dxa" w:w="7200"/>
            <w:tcMar>
              <w:top w:w="120" w:type="dxa"/>
              <w:start w:w="140" w:type="dxa"/>
              <w:bottom w:w="120" w:type="dxa"/>
              <w:end w:w="140" w:type="dxa"/>
            </w:tcMar>
          </w:tcPr>
          <w:p>
            <w:r>
              <w:t>Forky Stick Training and Safety Consultants</w:t>
            </w:r>
          </w:p>
        </w:tc>
      </w:tr>
      <w:tr>
        <w:tc>
          <w:tcPr>
            <w:tcW w:type="dxa" w:w="2160"/>
            <w:shd w:fill="5A1F2A"/>
            <w:tcMar>
              <w:top w:w="120" w:type="dxa"/>
              <w:start w:w="140" w:type="dxa"/>
              <w:bottom w:w="120" w:type="dxa"/>
              <w:end w:w="140" w:type="dxa"/>
            </w:tcMar>
          </w:tcPr>
          <w:p>
            <w:r>
              <w:rPr>
                <w:b/>
                <w:color w:val="FFFFFF"/>
              </w:rPr>
              <w:t>Legal entity</w:t>
            </w:r>
          </w:p>
        </w:tc>
        <w:tc>
          <w:tcPr>
            <w:tcW w:type="dxa" w:w="7200"/>
            <w:tcMar>
              <w:top w:w="120" w:type="dxa"/>
              <w:start w:w="140" w:type="dxa"/>
              <w:bottom w:w="120" w:type="dxa"/>
              <w:end w:w="140" w:type="dxa"/>
            </w:tcMar>
          </w:tcPr>
          <w:p>
            <w:r>
              <w:t>Hilton Group Qld Pty Ltd</w:t>
            </w:r>
          </w:p>
        </w:tc>
      </w:tr>
      <w:tr>
        <w:tc>
          <w:tcPr>
            <w:tcW w:type="dxa" w:w="2160"/>
            <w:shd w:fill="5A1F2A"/>
            <w:tcMar>
              <w:top w:w="120" w:type="dxa"/>
              <w:start w:w="140" w:type="dxa"/>
              <w:bottom w:w="120" w:type="dxa"/>
              <w:end w:w="140" w:type="dxa"/>
            </w:tcMar>
          </w:tcPr>
          <w:p>
            <w:r>
              <w:rPr>
                <w:b/>
                <w:color w:val="FFFFFF"/>
              </w:rPr>
              <w:t>Registration</w:t>
            </w:r>
          </w:p>
        </w:tc>
        <w:tc>
          <w:tcPr>
            <w:tcW w:type="dxa" w:w="7200"/>
            <w:tcMar>
              <w:top w:w="120" w:type="dxa"/>
              <w:start w:w="140" w:type="dxa"/>
              <w:bottom w:w="120" w:type="dxa"/>
              <w:end w:w="140" w:type="dxa"/>
            </w:tcMar>
          </w:tcPr>
          <w:p>
            <w:r>
              <w:t>RTO 45802 | ABN 69 641 210 639 | ACN 641 210 639</w:t>
            </w:r>
          </w:p>
        </w:tc>
      </w:tr>
      <w:tr>
        <w:tc>
          <w:tcPr>
            <w:tcW w:type="dxa" w:w="2160"/>
            <w:shd w:fill="5A1F2A"/>
            <w:tcMar>
              <w:top w:w="120" w:type="dxa"/>
              <w:start w:w="140" w:type="dxa"/>
              <w:bottom w:w="120" w:type="dxa"/>
              <w:end w:w="140" w:type="dxa"/>
            </w:tcMar>
          </w:tcPr>
          <w:p>
            <w:r>
              <w:rPr>
                <w:b/>
                <w:color w:val="FFFFFF"/>
              </w:rPr>
              <w:t>Contact</w:t>
            </w:r>
          </w:p>
        </w:tc>
        <w:tc>
          <w:tcPr>
            <w:tcW w:type="dxa" w:w="7200"/>
            <w:tcMar>
              <w:top w:w="120" w:type="dxa"/>
              <w:start w:w="140" w:type="dxa"/>
              <w:bottom w:w="120" w:type="dxa"/>
              <w:end w:w="140" w:type="dxa"/>
            </w:tcMar>
          </w:tcPr>
          <w:p>
            <w:r>
              <w:t>07 4922 1060 | ForkyStick@hiltongroup.com.au</w:t>
            </w:r>
          </w:p>
        </w:tc>
      </w:tr>
      <w:tr>
        <w:tc>
          <w:tcPr>
            <w:tcW w:type="dxa" w:w="2160"/>
            <w:shd w:fill="5A1F2A"/>
            <w:tcMar>
              <w:top w:w="120" w:type="dxa"/>
              <w:start w:w="140" w:type="dxa"/>
              <w:bottom w:w="120" w:type="dxa"/>
              <w:end w:w="140" w:type="dxa"/>
            </w:tcMar>
          </w:tcPr>
          <w:p>
            <w:r>
              <w:rPr>
                <w:b/>
                <w:color w:val="FFFFFF"/>
              </w:rPr>
              <w:t>Address and web</w:t>
            </w:r>
          </w:p>
        </w:tc>
        <w:tc>
          <w:tcPr>
            <w:tcW w:type="dxa" w:w="7200"/>
            <w:tcMar>
              <w:top w:w="120" w:type="dxa"/>
              <w:start w:w="140" w:type="dxa"/>
              <w:bottom w:w="120" w:type="dxa"/>
              <w:end w:w="140" w:type="dxa"/>
            </w:tcMar>
          </w:tcPr>
          <w:p>
            <w:r>
              <w:t>110 Alma Street, Rockhampton City QLD 4700 | www.forkystick.com.au</w:t>
            </w:r>
          </w:p>
        </w:tc>
      </w:tr>
    </w:tbl>
    <w:p>
      <w:pPr>
        <w:spacing w:before="400"/>
        <w:jc w:val="center"/>
      </w:pPr>
      <w:r>
        <w:rPr>
          <w:b/>
          <w:color w:val="5A1F2A"/>
          <w:sz w:val="30"/>
        </w:rPr>
        <w:t>Developing Capability. Building Confidence. Strengthening Industry.</w:t>
      </w:r>
    </w:p>
    <w:p>
      <w:pPr>
        <w:pStyle w:val="BodyText"/>
      </w:pPr>
      <w:r>
        <w:t>This profile provides a general overview only. Training availability, delivery arrangements, eligibility, outcomes and documentation are confirmed for each program. Only training products within Forky Stick’s approved scope and supported delivery arrangements are represented as nationally recognised training.</w:t>
      </w:r>
    </w:p>
    <w:sectPr w:rsidR="00FC693F" w:rsidRPr="0006063C" w:rsidSect="00034616">
      <w:headerReference w:type="default" r:id="rId9"/>
      <w:footerReference w:type="default" r:id="rId10"/>
      <w:pgSz w:w="12240" w:h="15840"/>
      <w:pgMar w:top="936" w:right="1037" w:bottom="936"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color w:val="2F2F2F"/>
        <w:sz w:val="15"/>
      </w:rPr>
      <w:t>Hilton Group Qld Pty Ltd  |  ABN 69 641 210 639  |  ACN 641 210 639  |  RTO 45802</w:t>
    </w:r>
  </w:p>
  <w:p>
    <w:pPr>
      <w:jc w:val="right"/>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A1F2A"/>
        <w:sz w:val="16"/>
      </w:rPr>
      <w:t>FORKY STICK  |  WORKFORCE CAPABILITY PROFILE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F2F2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60"/>
      <w:outlineLvl w:val="0"/>
    </w:pPr>
    <w:rPr>
      <w:rFonts w:asciiTheme="majorHAnsi" w:eastAsiaTheme="majorEastAsia" w:hAnsiTheme="majorHAnsi" w:cstheme="majorBidi" w:ascii="Aptos Display" w:hAnsi="Aptos Display"/>
      <w:b/>
      <w:bCs/>
      <w:color w:val="5A1F2A"/>
      <w:sz w:val="4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5A1F2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2F2F2F"/>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59" w:lineRule="auto"/>
    </w:pPr>
    <w:rPr>
      <w:rFonts w:ascii="Aptos" w:hAnsi="Aptos"/>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Forky Stick Workforce Capability Profile</dc:title>
  <dc:subject>Website capability profile</dc:subject>
  <dc:creator>Forky Stick Training and Safety Consultants</dc:creator>
  <cp:keywords/>
  <dc:description>Draft v1.0 prepared for website publication review.</dc:description>
  <cp:lastModifiedBy/>
  <cp:revision>1</cp:revision>
  <dcterms:created xsi:type="dcterms:W3CDTF">2013-12-23T23:15:00Z</dcterms:created>
  <dcterms:modified xsi:type="dcterms:W3CDTF">2013-12-23T23:15:00Z</dcterms:modified>
  <cp:category/>
</cp:coreProperties>
</file>